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78" w:rsidRPr="001F0078" w:rsidRDefault="001F0078" w:rsidP="001F0078">
      <w:pPr>
        <w:jc w:val="center"/>
        <w:rPr>
          <w:rFonts w:ascii="微软雅黑" w:eastAsia="微软雅黑" w:hAnsi="微软雅黑" w:cs="Times New Roman"/>
          <w:bCs/>
          <w:sz w:val="24"/>
          <w:szCs w:val="24"/>
        </w:rPr>
      </w:pPr>
      <w:r w:rsidRPr="001F0078">
        <w:rPr>
          <w:rFonts w:ascii="微软雅黑" w:eastAsia="微软雅黑" w:hAnsi="微软雅黑" w:cs="Times New Roman"/>
          <w:b/>
          <w:sz w:val="24"/>
          <w:szCs w:val="24"/>
        </w:rPr>
        <w:t>常州大学听课记录</w:t>
      </w:r>
      <w:r w:rsidR="00AB2846">
        <w:rPr>
          <w:rFonts w:ascii="微软雅黑" w:eastAsia="微软雅黑" w:hAnsi="微软雅黑" w:cs="Times New Roman" w:hint="eastAsia"/>
          <w:b/>
          <w:sz w:val="24"/>
          <w:szCs w:val="24"/>
        </w:rPr>
        <w:t>表</w:t>
      </w:r>
      <w:r w:rsidR="00AB2846">
        <w:rPr>
          <w:rFonts w:ascii="微软雅黑" w:eastAsia="微软雅黑" w:hAnsi="微软雅黑" w:cs="Times New Roman"/>
          <w:bCs/>
          <w:sz w:val="24"/>
          <w:szCs w:val="24"/>
        </w:rPr>
        <w:t>（</w:t>
      </w:r>
      <w:r w:rsidR="00F954CA">
        <w:rPr>
          <w:rFonts w:ascii="微软雅黑" w:eastAsia="微软雅黑" w:hAnsi="微软雅黑" w:cs="Times New Roman" w:hint="eastAsia"/>
          <w:bCs/>
          <w:sz w:val="24"/>
          <w:szCs w:val="24"/>
        </w:rPr>
        <w:t>产教融合</w:t>
      </w:r>
      <w:r w:rsidRPr="001F0078">
        <w:rPr>
          <w:rFonts w:ascii="微软雅黑" w:eastAsia="微软雅黑" w:hAnsi="微软雅黑" w:cs="Times New Roman"/>
          <w:bCs/>
          <w:sz w:val="24"/>
          <w:szCs w:val="24"/>
        </w:rPr>
        <w:t>课程）</w:t>
      </w:r>
    </w:p>
    <w:p w:rsidR="001F0078" w:rsidRPr="001E6BF6" w:rsidRDefault="001F0078" w:rsidP="008B7252">
      <w:pPr>
        <w:jc w:val="left"/>
        <w:rPr>
          <w:rFonts w:ascii="微软雅黑" w:eastAsia="微软雅黑" w:hAnsi="微软雅黑" w:cs="Times New Roman"/>
          <w:bCs/>
          <w:szCs w:val="21"/>
        </w:rPr>
      </w:pPr>
      <w:r w:rsidRPr="001E6BF6">
        <w:rPr>
          <w:rFonts w:ascii="微软雅黑" w:eastAsia="微软雅黑" w:hAnsi="微软雅黑" w:cs="Times New Roman" w:hint="eastAsia"/>
          <w:bCs/>
          <w:sz w:val="24"/>
          <w:szCs w:val="24"/>
        </w:rPr>
        <w:t>听课学期：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  <w:u w:val="single"/>
        </w:rPr>
        <w:t xml:space="preserve">      </w:t>
      </w:r>
      <w:r w:rsidR="0067638D" w:rsidRPr="001E6BF6">
        <w:rPr>
          <w:rFonts w:ascii="微软雅黑" w:eastAsia="微软雅黑" w:hAnsi="微软雅黑" w:cs="Times New Roman"/>
          <w:bCs/>
          <w:sz w:val="24"/>
          <w:szCs w:val="24"/>
          <w:u w:val="single"/>
        </w:rPr>
        <w:t xml:space="preserve"> </w:t>
      </w:r>
      <w:r w:rsidR="008B7252">
        <w:rPr>
          <w:rFonts w:ascii="微软雅黑" w:eastAsia="微软雅黑" w:hAnsi="微软雅黑" w:cs="Times New Roman"/>
          <w:bCs/>
          <w:sz w:val="24"/>
          <w:szCs w:val="24"/>
          <w:u w:val="single"/>
        </w:rPr>
        <w:t xml:space="preserve"> 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  <w:u w:val="single"/>
        </w:rPr>
        <w:t xml:space="preserve">   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</w:rPr>
        <w:t xml:space="preserve"> 学年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  <w:u w:val="single"/>
        </w:rPr>
        <w:t xml:space="preserve">  </w:t>
      </w:r>
      <w:r w:rsidR="0067638D" w:rsidRPr="001E6BF6">
        <w:rPr>
          <w:rFonts w:ascii="微软雅黑" w:eastAsia="微软雅黑" w:hAnsi="微软雅黑" w:cs="Times New Roman"/>
          <w:bCs/>
          <w:sz w:val="24"/>
          <w:szCs w:val="24"/>
          <w:u w:val="single"/>
        </w:rPr>
        <w:t xml:space="preserve"> 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  <w:u w:val="single"/>
        </w:rPr>
        <w:t xml:space="preserve">  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</w:rPr>
        <w:t xml:space="preserve">学期   </w:t>
      </w:r>
      <w:r w:rsidR="0067638D" w:rsidRPr="001E6BF6">
        <w:rPr>
          <w:rFonts w:ascii="微软雅黑" w:eastAsia="微软雅黑" w:hAnsi="微软雅黑" w:cs="Times New Roman"/>
          <w:bCs/>
          <w:sz w:val="24"/>
          <w:szCs w:val="24"/>
        </w:rPr>
        <w:t xml:space="preserve">      </w:t>
      </w:r>
      <w:r w:rsidR="008B7252">
        <w:rPr>
          <w:rFonts w:ascii="微软雅黑" w:eastAsia="微软雅黑" w:hAnsi="微软雅黑" w:cs="Times New Roman"/>
          <w:bCs/>
          <w:sz w:val="24"/>
          <w:szCs w:val="24"/>
        </w:rPr>
        <w:t xml:space="preserve">   </w:t>
      </w:r>
      <w:r w:rsidR="0067638D" w:rsidRPr="001E6BF6">
        <w:rPr>
          <w:rFonts w:ascii="微软雅黑" w:eastAsia="微软雅黑" w:hAnsi="微软雅黑" w:cs="Times New Roman"/>
          <w:bCs/>
          <w:sz w:val="24"/>
          <w:szCs w:val="24"/>
        </w:rPr>
        <w:t xml:space="preserve">    </w:t>
      </w:r>
      <w:r w:rsidR="008B7252">
        <w:rPr>
          <w:rFonts w:ascii="微软雅黑" w:eastAsia="微软雅黑" w:hAnsi="微软雅黑" w:cs="Times New Roman"/>
          <w:bCs/>
          <w:sz w:val="24"/>
          <w:szCs w:val="24"/>
        </w:rPr>
        <w:t xml:space="preserve"> </w:t>
      </w:r>
      <w:r w:rsidR="0067638D" w:rsidRPr="001E6BF6">
        <w:rPr>
          <w:rFonts w:ascii="微软雅黑" w:eastAsia="微软雅黑" w:hAnsi="微软雅黑" w:cs="Times New Roman"/>
          <w:bCs/>
          <w:sz w:val="24"/>
          <w:szCs w:val="24"/>
        </w:rPr>
        <w:t xml:space="preserve"> 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</w:rPr>
        <w:t xml:space="preserve">    </w:t>
      </w:r>
      <w:r w:rsidR="001E6BF6">
        <w:rPr>
          <w:rFonts w:ascii="微软雅黑" w:eastAsia="微软雅黑" w:hAnsi="微软雅黑" w:cs="Times New Roman" w:hint="eastAsia"/>
          <w:bCs/>
          <w:sz w:val="24"/>
          <w:szCs w:val="24"/>
        </w:rPr>
        <w:t xml:space="preserve"> 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</w:rPr>
        <w:t xml:space="preserve">  听课人：</w:t>
      </w:r>
      <w:r w:rsidR="001E6BF6">
        <w:rPr>
          <w:rFonts w:ascii="微软雅黑" w:eastAsia="微软雅黑" w:hAnsi="微软雅黑" w:cs="Times New Roman" w:hint="eastAsia"/>
          <w:bCs/>
          <w:sz w:val="24"/>
          <w:szCs w:val="24"/>
          <w:u w:val="single"/>
        </w:rPr>
        <w:t xml:space="preserve">  </w:t>
      </w:r>
      <w:r w:rsidR="008B7252">
        <w:rPr>
          <w:rFonts w:ascii="微软雅黑" w:eastAsia="微软雅黑" w:hAnsi="微软雅黑" w:cs="Times New Roman"/>
          <w:bCs/>
          <w:sz w:val="24"/>
          <w:szCs w:val="24"/>
          <w:u w:val="single"/>
        </w:rPr>
        <w:t xml:space="preserve">  </w:t>
      </w:r>
      <w:r w:rsidR="001E6BF6">
        <w:rPr>
          <w:rFonts w:ascii="微软雅黑" w:eastAsia="微软雅黑" w:hAnsi="微软雅黑" w:cs="Times New Roman"/>
          <w:bCs/>
          <w:sz w:val="24"/>
          <w:szCs w:val="24"/>
          <w:u w:val="single"/>
        </w:rPr>
        <w:t xml:space="preserve">  </w:t>
      </w:r>
      <w:r w:rsidRPr="001E6BF6">
        <w:rPr>
          <w:rFonts w:ascii="微软雅黑" w:eastAsia="微软雅黑" w:hAnsi="微软雅黑" w:cs="Times New Roman" w:hint="eastAsia"/>
          <w:bCs/>
          <w:sz w:val="24"/>
          <w:szCs w:val="24"/>
          <w:u w:val="single"/>
        </w:rPr>
        <w:t xml:space="preserve">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709"/>
        <w:gridCol w:w="4761"/>
        <w:gridCol w:w="1134"/>
        <w:gridCol w:w="992"/>
        <w:gridCol w:w="992"/>
        <w:gridCol w:w="851"/>
      </w:tblGrid>
      <w:tr w:rsidR="001F0078" w:rsidRPr="0067638D" w:rsidTr="008C3AE6">
        <w:trPr>
          <w:cantSplit/>
          <w:trHeight w:val="554"/>
          <w:jc w:val="center"/>
        </w:trPr>
        <w:tc>
          <w:tcPr>
            <w:tcW w:w="1330" w:type="dxa"/>
            <w:gridSpan w:val="2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课程名称</w:t>
            </w:r>
          </w:p>
        </w:tc>
        <w:tc>
          <w:tcPr>
            <w:tcW w:w="476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 w:hint="eastAsia"/>
                <w:bCs/>
                <w:szCs w:val="21"/>
              </w:rPr>
              <w:t>上课时间</w:t>
            </w:r>
          </w:p>
        </w:tc>
        <w:tc>
          <w:tcPr>
            <w:tcW w:w="2835" w:type="dxa"/>
            <w:gridSpan w:val="3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  <w:u w:val="single"/>
              </w:rPr>
              <w:t xml:space="preserve">  </w:t>
            </w:r>
            <w:r w:rsidRPr="0067638D">
              <w:rPr>
                <w:rFonts w:ascii="微软雅黑" w:eastAsia="微软雅黑" w:hAnsi="微软雅黑" w:cs="Times New Roman" w:hint="eastAsia"/>
                <w:bCs/>
                <w:szCs w:val="21"/>
                <w:u w:val="single"/>
              </w:rPr>
              <w:t xml:space="preserve"> 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  <w:u w:val="single"/>
              </w:rPr>
              <w:t xml:space="preserve"> 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月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  <w:u w:val="single"/>
              </w:rPr>
              <w:t xml:space="preserve"> </w:t>
            </w:r>
            <w:r w:rsidRPr="0067638D">
              <w:rPr>
                <w:rFonts w:ascii="微软雅黑" w:eastAsia="微软雅黑" w:hAnsi="微软雅黑" w:cs="Times New Roman" w:hint="eastAsia"/>
                <w:bCs/>
                <w:szCs w:val="21"/>
                <w:u w:val="single"/>
              </w:rPr>
              <w:t xml:space="preserve">  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  <w:u w:val="single"/>
              </w:rPr>
              <w:t xml:space="preserve"> 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日（第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  <w:u w:val="single"/>
              </w:rPr>
              <w:t xml:space="preserve"> </w:t>
            </w:r>
            <w:r w:rsidRPr="0067638D">
              <w:rPr>
                <w:rFonts w:ascii="微软雅黑" w:eastAsia="微软雅黑" w:hAnsi="微软雅黑" w:cs="Times New Roman" w:hint="eastAsia"/>
                <w:bCs/>
                <w:szCs w:val="21"/>
                <w:u w:val="single"/>
              </w:rPr>
              <w:t xml:space="preserve"> 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  <w:u w:val="single"/>
              </w:rPr>
              <w:t xml:space="preserve">  </w:t>
            </w:r>
            <w:r w:rsidRPr="0067638D">
              <w:rPr>
                <w:rFonts w:ascii="微软雅黑" w:eastAsia="微软雅黑" w:hAnsi="微软雅黑" w:cs="Times New Roman" w:hint="eastAsia"/>
                <w:bCs/>
                <w:szCs w:val="21"/>
              </w:rPr>
              <w:t>节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）</w:t>
            </w:r>
          </w:p>
        </w:tc>
      </w:tr>
      <w:tr w:rsidR="001F0078" w:rsidRPr="0067638D" w:rsidTr="008C3AE6">
        <w:trPr>
          <w:cantSplit/>
          <w:trHeight w:val="554"/>
          <w:jc w:val="center"/>
        </w:trPr>
        <w:tc>
          <w:tcPr>
            <w:tcW w:w="1330" w:type="dxa"/>
            <w:gridSpan w:val="2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任课教师</w:t>
            </w:r>
          </w:p>
        </w:tc>
        <w:tc>
          <w:tcPr>
            <w:tcW w:w="476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上课地点</w:t>
            </w:r>
          </w:p>
        </w:tc>
        <w:tc>
          <w:tcPr>
            <w:tcW w:w="2835" w:type="dxa"/>
            <w:gridSpan w:val="3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8C3AE6">
        <w:trPr>
          <w:cantSplit/>
          <w:trHeight w:val="565"/>
          <w:jc w:val="center"/>
        </w:trPr>
        <w:tc>
          <w:tcPr>
            <w:tcW w:w="62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权重</w:t>
            </w:r>
          </w:p>
        </w:tc>
        <w:tc>
          <w:tcPr>
            <w:tcW w:w="476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评 分 内 容</w:t>
            </w:r>
          </w:p>
        </w:tc>
        <w:tc>
          <w:tcPr>
            <w:tcW w:w="1134" w:type="dxa"/>
            <w:vAlign w:val="center"/>
          </w:tcPr>
          <w:p w:rsid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优</w:t>
            </w:r>
          </w:p>
          <w:p w:rsidR="001F0078" w:rsidRP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(</w:t>
            </w:r>
            <w:r w:rsidR="0067638D">
              <w:rPr>
                <w:rFonts w:ascii="微软雅黑" w:eastAsia="微软雅黑" w:hAnsi="微软雅黑" w:cs="Times New Roman" w:hint="eastAsia"/>
                <w:bCs/>
                <w:szCs w:val="21"/>
              </w:rPr>
              <w:t>≥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90)</w:t>
            </w:r>
          </w:p>
        </w:tc>
        <w:tc>
          <w:tcPr>
            <w:tcW w:w="992" w:type="dxa"/>
            <w:vAlign w:val="center"/>
          </w:tcPr>
          <w:p w:rsid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良</w:t>
            </w:r>
          </w:p>
          <w:p w:rsidR="001F0078" w:rsidRP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(89-75)</w:t>
            </w:r>
          </w:p>
        </w:tc>
        <w:tc>
          <w:tcPr>
            <w:tcW w:w="992" w:type="dxa"/>
            <w:vAlign w:val="center"/>
          </w:tcPr>
          <w:p w:rsid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中</w:t>
            </w:r>
          </w:p>
          <w:p w:rsidR="001F0078" w:rsidRP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(74-60)</w:t>
            </w:r>
          </w:p>
        </w:tc>
        <w:tc>
          <w:tcPr>
            <w:tcW w:w="851" w:type="dxa"/>
            <w:vAlign w:val="center"/>
          </w:tcPr>
          <w:p w:rsid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差</w:t>
            </w:r>
          </w:p>
          <w:p w:rsidR="001F0078" w:rsidRPr="0067638D" w:rsidRDefault="001F0078" w:rsidP="0067638D">
            <w:pPr>
              <w:adjustRightInd w:val="0"/>
              <w:snapToGrid w:val="0"/>
              <w:spacing w:line="20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(</w:t>
            </w:r>
            <w:r w:rsidR="0067638D">
              <w:rPr>
                <w:rFonts w:ascii="微软雅黑" w:eastAsia="微软雅黑" w:hAnsi="微软雅黑" w:cs="Times New Roman" w:hint="eastAsia"/>
                <w:bCs/>
                <w:szCs w:val="21"/>
              </w:rPr>
              <w:t>＜</w:t>
            </w: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60)</w:t>
            </w:r>
          </w:p>
        </w:tc>
      </w:tr>
      <w:tr w:rsidR="001F0078" w:rsidRPr="0067638D" w:rsidTr="00364E40">
        <w:trPr>
          <w:cantSplit/>
          <w:trHeight w:val="1004"/>
          <w:jc w:val="center"/>
        </w:trPr>
        <w:tc>
          <w:tcPr>
            <w:tcW w:w="621" w:type="dxa"/>
            <w:vMerge w:val="restart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教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学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态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度</w:t>
            </w: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vAlign w:val="center"/>
          </w:tcPr>
          <w:p w:rsidR="001F0078" w:rsidRPr="00057E42" w:rsidRDefault="00057E42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1.</w:t>
            </w:r>
            <w:r w:rsidR="00F954CA">
              <w:t xml:space="preserve"> </w:t>
            </w:r>
            <w:r w:rsidR="00F954CA" w:rsidRPr="00F954CA">
              <w:rPr>
                <w:rFonts w:ascii="微软雅黑" w:eastAsia="微软雅黑" w:hAnsi="微软雅黑" w:cs="Times New Roman"/>
                <w:bCs/>
                <w:szCs w:val="21"/>
              </w:rPr>
              <w:t>践行“以学生为中心”教育理念，立足专业课程特色，深化产教融合创新，促进教育链、人才链与产业链、创新链有机衔接。</w:t>
            </w: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8C3AE6">
        <w:trPr>
          <w:cantSplit/>
          <w:trHeight w:val="20"/>
          <w:jc w:val="center"/>
        </w:trPr>
        <w:tc>
          <w:tcPr>
            <w:tcW w:w="621" w:type="dxa"/>
            <w:vMerge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vAlign w:val="center"/>
          </w:tcPr>
          <w:p w:rsidR="001F0078" w:rsidRPr="00057E42" w:rsidRDefault="00F954CA" w:rsidP="00057E42">
            <w:pPr>
              <w:spacing w:line="300" w:lineRule="exact"/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2. 备课充分，授课思路清晰、精神饱满、举止得体。</w:t>
            </w: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364E40">
        <w:trPr>
          <w:cantSplit/>
          <w:trHeight w:val="969"/>
          <w:jc w:val="center"/>
        </w:trPr>
        <w:tc>
          <w:tcPr>
            <w:tcW w:w="621" w:type="dxa"/>
            <w:vMerge w:val="restart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教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学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内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3. 深挖课程思政元素，有机融入课程教学，实现“润物无声”的课程思政教育，注重培养学生的职业素养与社会责任感。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364E40">
        <w:trPr>
          <w:cantSplit/>
          <w:trHeight w:val="1336"/>
          <w:jc w:val="center"/>
        </w:trPr>
        <w:tc>
          <w:tcPr>
            <w:tcW w:w="621" w:type="dxa"/>
            <w:vMerge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4. 教学内容符合教学大纲与进度要求，教师及时更新教学内容，注重将行业企业发展前沿成果融入教学，实现专业知识与新技术、新工艺、新规范、新标准精准对接，理论联系实际紧密。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364E40">
        <w:trPr>
          <w:cantSplit/>
          <w:trHeight w:val="973"/>
          <w:jc w:val="center"/>
        </w:trPr>
        <w:tc>
          <w:tcPr>
            <w:tcW w:w="621" w:type="dxa"/>
            <w:vMerge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5. 课程教学资源丰富，行业企业深度参与课程建设，有机融入企业真实项目、科研成果转化、虚拟仿真实验等内容，产教融合特色鲜明。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8C3AE6">
        <w:trPr>
          <w:cantSplit/>
          <w:trHeight w:val="990"/>
          <w:jc w:val="center"/>
        </w:trPr>
        <w:tc>
          <w:tcPr>
            <w:tcW w:w="621" w:type="dxa"/>
            <w:vMerge w:val="restart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教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学</w:t>
            </w:r>
          </w:p>
          <w:p w:rsidR="001F0078" w:rsidRDefault="00F954CA" w:rsidP="00F954C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Cs/>
                <w:szCs w:val="21"/>
              </w:rPr>
              <w:t>过</w:t>
            </w:r>
          </w:p>
          <w:p w:rsidR="00F954CA" w:rsidRPr="0067638D" w:rsidRDefault="00F954CA" w:rsidP="00F954C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bCs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Cs/>
                <w:szCs w:val="21"/>
              </w:rPr>
              <w:t>程</w:t>
            </w: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8C3AE6">
              <w:rPr>
                <w:rFonts w:ascii="微软雅黑" w:eastAsia="微软雅黑" w:hAnsi="微软雅黑" w:cs="Times New Roman"/>
                <w:bCs/>
                <w:szCs w:val="21"/>
              </w:rPr>
              <w:t xml:space="preserve">6. </w:t>
            </w:r>
            <w:r w:rsidR="00317B42" w:rsidRPr="008C3AE6">
              <w:rPr>
                <w:rFonts w:ascii="微软雅黑" w:eastAsia="微软雅黑" w:hAnsi="微软雅黑" w:cs="Times New Roman"/>
                <w:bCs/>
                <w:szCs w:val="21"/>
              </w:rPr>
              <w:t>课堂教学体现教师主导、学生主体</w:t>
            </w:r>
            <w:r w:rsidR="00392480">
              <w:rPr>
                <w:rFonts w:ascii="微软雅黑" w:eastAsia="微软雅黑" w:hAnsi="微软雅黑" w:cs="Times New Roman" w:hint="eastAsia"/>
                <w:bCs/>
                <w:szCs w:val="21"/>
              </w:rPr>
              <w:t>、</w:t>
            </w:r>
            <w:r w:rsidR="00317B42" w:rsidRPr="008C3AE6">
              <w:rPr>
                <w:rFonts w:ascii="微软雅黑" w:eastAsia="微软雅黑" w:hAnsi="微软雅黑" w:cs="Times New Roman"/>
                <w:bCs/>
                <w:szCs w:val="21"/>
              </w:rPr>
              <w:t>行业企业参与，</w:t>
            </w:r>
            <w:r w:rsidRPr="008C3AE6">
              <w:rPr>
                <w:rFonts w:ascii="微软雅黑" w:eastAsia="微软雅黑" w:hAnsi="微软雅黑" w:cs="Times New Roman"/>
                <w:bCs/>
                <w:szCs w:val="21"/>
              </w:rPr>
              <w:t>行业企业优秀专业技术人才、管理骨干等参与课堂教学。</w:t>
            </w: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8C3AE6">
        <w:trPr>
          <w:cantSplit/>
          <w:trHeight w:val="990"/>
          <w:jc w:val="center"/>
        </w:trPr>
        <w:tc>
          <w:tcPr>
            <w:tcW w:w="621" w:type="dxa"/>
            <w:vMerge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7. 采用案例式、任务式、项目式等教学方法，围绕真实产业任务展开教学，注重启发引导，培养学生在真实产业环境中解决复杂问题的能力。</w:t>
            </w: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8C3AE6">
        <w:trPr>
          <w:cantSplit/>
          <w:trHeight w:val="1119"/>
          <w:jc w:val="center"/>
        </w:trPr>
        <w:tc>
          <w:tcPr>
            <w:tcW w:w="621" w:type="dxa"/>
            <w:vMerge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8. 充分利用数字化教学资源，运用移动终端、在线平台等工具辅助教学互动与课堂评价，数字化特征鲜明。</w:t>
            </w: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364E40">
        <w:trPr>
          <w:cantSplit/>
          <w:trHeight w:val="763"/>
          <w:jc w:val="center"/>
        </w:trPr>
        <w:tc>
          <w:tcPr>
            <w:tcW w:w="621" w:type="dxa"/>
            <w:vMerge w:val="restart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教学效果</w:t>
            </w: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9. 课堂组织和管理有序，教学富有吸引力与感染力，师生互动融洽、学生参与度高。</w:t>
            </w: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364E40">
        <w:trPr>
          <w:cantSplit/>
          <w:trHeight w:val="1269"/>
          <w:jc w:val="center"/>
        </w:trPr>
        <w:tc>
          <w:tcPr>
            <w:tcW w:w="621" w:type="dxa"/>
            <w:vMerge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w w:val="80"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w w:val="80"/>
                <w:szCs w:val="21"/>
              </w:rPr>
              <w:t>0.1</w:t>
            </w:r>
          </w:p>
        </w:tc>
        <w:tc>
          <w:tcPr>
            <w:tcW w:w="4761" w:type="dxa"/>
            <w:vAlign w:val="center"/>
          </w:tcPr>
          <w:p w:rsidR="001F0078" w:rsidRPr="0067638D" w:rsidRDefault="00F954CA" w:rsidP="00057E42">
            <w:pPr>
              <w:spacing w:line="300" w:lineRule="exac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F954CA">
              <w:rPr>
                <w:rFonts w:ascii="微软雅黑" w:eastAsia="微软雅黑" w:hAnsi="微软雅黑" w:cs="Times New Roman"/>
                <w:bCs/>
                <w:szCs w:val="21"/>
              </w:rPr>
              <w:t>10. 课程教学针对性强，紧密对接产业前沿与行业需求，帮助学生明晰行业动态和职业规划，有效提升学生创新实践能力，实现知识、素质、能力协同发展。</w:t>
            </w:r>
          </w:p>
        </w:tc>
        <w:tc>
          <w:tcPr>
            <w:tcW w:w="1134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</w:tc>
      </w:tr>
      <w:tr w:rsidR="001F0078" w:rsidRPr="0067638D" w:rsidTr="008C3AE6">
        <w:trPr>
          <w:cantSplit/>
          <w:trHeight w:val="568"/>
          <w:jc w:val="center"/>
        </w:trPr>
        <w:tc>
          <w:tcPr>
            <w:tcW w:w="10060" w:type="dxa"/>
            <w:gridSpan w:val="7"/>
            <w:vAlign w:val="center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本次课堂授课的总评分（百分制）：</w:t>
            </w:r>
          </w:p>
        </w:tc>
      </w:tr>
      <w:tr w:rsidR="001F0078" w:rsidRPr="0067638D" w:rsidTr="008C3AE6">
        <w:trPr>
          <w:cantSplit/>
          <w:trHeight w:val="20"/>
          <w:jc w:val="center"/>
        </w:trPr>
        <w:tc>
          <w:tcPr>
            <w:tcW w:w="10060" w:type="dxa"/>
            <w:gridSpan w:val="7"/>
          </w:tcPr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Times New Roman"/>
                <w:bCs/>
                <w:szCs w:val="21"/>
              </w:rPr>
            </w:pPr>
            <w:r w:rsidRPr="0067638D">
              <w:rPr>
                <w:rFonts w:ascii="微软雅黑" w:eastAsia="微软雅黑" w:hAnsi="微软雅黑" w:cs="Times New Roman"/>
                <w:bCs/>
                <w:szCs w:val="21"/>
              </w:rPr>
              <w:t>评语、意见与建议：</w:t>
            </w: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  <w:p w:rsidR="001F0078" w:rsidRPr="0067638D" w:rsidRDefault="001F0078" w:rsidP="001F007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bCs/>
                <w:szCs w:val="21"/>
              </w:rPr>
            </w:pPr>
          </w:p>
          <w:p w:rsidR="001F0078" w:rsidRPr="0067638D" w:rsidRDefault="001F0078" w:rsidP="00364E4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 w:hint="eastAsia"/>
                <w:bCs/>
                <w:szCs w:val="21"/>
              </w:rPr>
            </w:pPr>
          </w:p>
        </w:tc>
      </w:tr>
    </w:tbl>
    <w:p w:rsidR="00E45324" w:rsidRDefault="00E45324" w:rsidP="00364E40">
      <w:pPr>
        <w:spacing w:line="300" w:lineRule="exact"/>
        <w:rPr>
          <w:rFonts w:hint="eastAsia"/>
        </w:rPr>
      </w:pPr>
    </w:p>
    <w:sectPr w:rsidR="00E45324" w:rsidSect="001F0078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24" w:rsidRDefault="004F3B24" w:rsidP="001F0078">
      <w:r>
        <w:separator/>
      </w:r>
    </w:p>
  </w:endnote>
  <w:endnote w:type="continuationSeparator" w:id="0">
    <w:p w:rsidR="004F3B24" w:rsidRDefault="004F3B24" w:rsidP="001F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24" w:rsidRDefault="004F3B24" w:rsidP="001F0078">
      <w:r>
        <w:separator/>
      </w:r>
    </w:p>
  </w:footnote>
  <w:footnote w:type="continuationSeparator" w:id="0">
    <w:p w:rsidR="004F3B24" w:rsidRDefault="004F3B24" w:rsidP="001F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1D"/>
    <w:rsid w:val="00057E42"/>
    <w:rsid w:val="000F70D3"/>
    <w:rsid w:val="00127EBD"/>
    <w:rsid w:val="001E6BF6"/>
    <w:rsid w:val="001F0078"/>
    <w:rsid w:val="00252716"/>
    <w:rsid w:val="00317B42"/>
    <w:rsid w:val="00364E40"/>
    <w:rsid w:val="00392480"/>
    <w:rsid w:val="004F3B24"/>
    <w:rsid w:val="005B1EE6"/>
    <w:rsid w:val="0067638D"/>
    <w:rsid w:val="00717151"/>
    <w:rsid w:val="008B7252"/>
    <w:rsid w:val="008C3AE6"/>
    <w:rsid w:val="00A149BC"/>
    <w:rsid w:val="00AB2846"/>
    <w:rsid w:val="00B34FEB"/>
    <w:rsid w:val="00E45324"/>
    <w:rsid w:val="00E7361D"/>
    <w:rsid w:val="00F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5A173"/>
  <w15:chartTrackingRefBased/>
  <w15:docId w15:val="{D6893F25-EADB-4C4E-A8C5-262DB71B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07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5271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52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771</Characters>
  <Application>Microsoft Office Word</Application>
  <DocSecurity>0</DocSecurity>
  <Lines>6</Lines>
  <Paragraphs>1</Paragraphs>
  <ScaleCrop>false</ScaleCrop>
  <Company>cczu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31358</dc:creator>
  <cp:keywords/>
  <dc:description/>
  <cp:lastModifiedBy>31358</cp:lastModifiedBy>
  <cp:revision>21</cp:revision>
  <cp:lastPrinted>2026-04-16T01:55:00Z</cp:lastPrinted>
  <dcterms:created xsi:type="dcterms:W3CDTF">2026-03-01T06:35:00Z</dcterms:created>
  <dcterms:modified xsi:type="dcterms:W3CDTF">2026-04-16T03:02:00Z</dcterms:modified>
</cp:coreProperties>
</file>