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rPr>
          <w:rFonts w:ascii="仿宋" w:hAnsi="仿宋" w:eastAsia="仿宋"/>
          <w:b/>
          <w:snapToGrid w:val="0"/>
          <w:color w:val="000000"/>
          <w:sz w:val="24"/>
        </w:rPr>
      </w:pPr>
      <w:r>
        <w:rPr>
          <w:rFonts w:hint="eastAsia" w:ascii="仿宋" w:hAnsi="仿宋" w:eastAsia="仿宋"/>
          <w:b/>
          <w:snapToGrid w:val="0"/>
          <w:color w:val="000000"/>
          <w:sz w:val="24"/>
        </w:rPr>
        <w:t>附件</w:t>
      </w:r>
      <w:r>
        <w:rPr>
          <w:rFonts w:hint="eastAsia" w:ascii="仿宋" w:hAnsi="仿宋" w:eastAsia="仿宋"/>
          <w:b/>
          <w:snapToGrid w:val="0"/>
          <w:color w:val="000000"/>
          <w:sz w:val="24"/>
          <w:lang w:val="en-US" w:eastAsia="zh-CN"/>
        </w:rPr>
        <w:t>1</w:t>
      </w:r>
      <w:bookmarkStart w:id="0" w:name="_GoBack"/>
      <w:bookmarkEnd w:id="0"/>
      <w:r>
        <w:rPr>
          <w:rFonts w:hint="eastAsia" w:ascii="仿宋" w:hAnsi="仿宋" w:eastAsia="仿宋"/>
          <w:b/>
          <w:snapToGrid w:val="0"/>
          <w:color w:val="000000"/>
          <w:sz w:val="24"/>
        </w:rPr>
        <w:t>：</w:t>
      </w:r>
    </w:p>
    <w:p>
      <w:pPr>
        <w:spacing w:line="360" w:lineRule="auto"/>
        <w:ind w:firstLine="482" w:firstLineChars="200"/>
        <w:rPr>
          <w:rFonts w:ascii="仿宋" w:hAnsi="仿宋" w:eastAsia="仿宋" w:cs="宋体"/>
          <w:b/>
          <w:sz w:val="24"/>
        </w:rPr>
      </w:pPr>
      <w:r>
        <w:rPr>
          <w:rFonts w:hint="eastAsia" w:ascii="仿宋" w:hAnsi="仿宋" w:eastAsia="仿宋" w:cs="宋体"/>
          <w:b/>
          <w:sz w:val="24"/>
        </w:rPr>
        <w:t>一、采购要求</w:t>
      </w:r>
    </w:p>
    <w:p>
      <w:pPr>
        <w:spacing w:line="360" w:lineRule="auto"/>
        <w:ind w:firstLine="482" w:firstLineChars="200"/>
        <w:rPr>
          <w:rFonts w:ascii="仿宋" w:hAnsi="仿宋" w:eastAsia="仿宋" w:cs="宋体"/>
          <w:b/>
          <w:sz w:val="24"/>
        </w:rPr>
      </w:pPr>
      <w:r>
        <w:rPr>
          <w:rFonts w:hint="eastAsia" w:ascii="仿宋" w:hAnsi="仿宋" w:eastAsia="仿宋" w:cs="宋体"/>
          <w:b/>
          <w:sz w:val="24"/>
        </w:rPr>
        <w:t>1、需求背景：</w:t>
      </w:r>
    </w:p>
    <w:p>
      <w:pPr>
        <w:spacing w:line="360" w:lineRule="auto"/>
        <w:ind w:firstLine="480" w:firstLineChars="200"/>
        <w:rPr>
          <w:rFonts w:ascii="仿宋" w:hAnsi="仿宋" w:eastAsia="仿宋" w:cs="宋体"/>
          <w:sz w:val="24"/>
        </w:rPr>
      </w:pPr>
      <w:r>
        <w:rPr>
          <w:rFonts w:hint="eastAsia" w:ascii="仿宋" w:hAnsi="仿宋" w:eastAsia="仿宋" w:cs="宋体"/>
          <w:sz w:val="24"/>
        </w:rPr>
        <w:t>常州大学武进校区主教楼7</w:t>
      </w:r>
      <w:r>
        <w:rPr>
          <w:rFonts w:ascii="仿宋" w:hAnsi="仿宋" w:eastAsia="仿宋" w:cs="宋体"/>
          <w:sz w:val="24"/>
        </w:rPr>
        <w:t>01</w:t>
      </w:r>
      <w:r>
        <w:rPr>
          <w:rFonts w:hint="eastAsia" w:ascii="仿宋" w:hAnsi="仿宋" w:eastAsia="仿宋" w:cs="宋体"/>
          <w:sz w:val="24"/>
        </w:rPr>
        <w:t>精品</w:t>
      </w:r>
      <w:r>
        <w:rPr>
          <w:rFonts w:ascii="仿宋" w:hAnsi="仿宋" w:eastAsia="仿宋" w:cs="宋体"/>
          <w:sz w:val="24"/>
        </w:rPr>
        <w:t>录播教室改造</w:t>
      </w:r>
      <w:r>
        <w:rPr>
          <w:rFonts w:hint="eastAsia" w:ascii="仿宋" w:hAnsi="仿宋" w:eastAsia="仿宋" w:cs="宋体"/>
          <w:sz w:val="24"/>
        </w:rPr>
        <w:t>项目需遵循相关国家标准进行配置，如：GB/T 36447-2018《多媒体教学环境设计要求》等多项教育信息化标准。</w:t>
      </w:r>
    </w:p>
    <w:p>
      <w:pPr>
        <w:spacing w:line="360" w:lineRule="auto"/>
        <w:ind w:firstLine="480" w:firstLineChars="200"/>
        <w:rPr>
          <w:rFonts w:ascii="仿宋" w:hAnsi="仿宋" w:eastAsia="仿宋" w:cs="宋体"/>
          <w:sz w:val="24"/>
        </w:rPr>
      </w:pPr>
      <w:r>
        <w:rPr>
          <w:rFonts w:hint="eastAsia" w:ascii="仿宋" w:hAnsi="仿宋" w:eastAsia="仿宋" w:cs="宋体"/>
          <w:sz w:val="24"/>
        </w:rPr>
        <w:t>该项目需包括免费保修和维修，由供应商提供设备终身维护，及时处理各种设备故障，切实保障会议及各种综合活动的需求。供应商包括货物供货、运输、保管、安装、调试、验收、制图、设备安装过程中的必要改造、检测、培训及相关服务等。安装完成移交给招标人时需对采购方的操作人员进行系统培训，使操作员（使用人员）能对设备进行基本操作，设备能正常运行的使用，懂得基本的维护。</w:t>
      </w:r>
    </w:p>
    <w:p>
      <w:pPr>
        <w:spacing w:line="360" w:lineRule="auto"/>
        <w:ind w:firstLine="482" w:firstLineChars="200"/>
        <w:rPr>
          <w:rFonts w:ascii="仿宋" w:hAnsi="仿宋" w:eastAsia="仿宋" w:cs="宋体"/>
          <w:b/>
          <w:sz w:val="24"/>
        </w:rPr>
      </w:pPr>
      <w:r>
        <w:rPr>
          <w:rFonts w:ascii="仿宋" w:hAnsi="仿宋" w:eastAsia="仿宋" w:cs="宋体"/>
          <w:b/>
          <w:sz w:val="24"/>
        </w:rPr>
        <w:t>2</w:t>
      </w:r>
      <w:r>
        <w:rPr>
          <w:rFonts w:hint="eastAsia" w:ascii="仿宋" w:hAnsi="仿宋" w:eastAsia="仿宋" w:cs="宋体"/>
          <w:b/>
          <w:sz w:val="24"/>
        </w:rPr>
        <w:t>、设备的供应和采购要求：</w:t>
      </w:r>
    </w:p>
    <w:p>
      <w:pPr>
        <w:spacing w:line="360" w:lineRule="auto"/>
        <w:ind w:firstLine="480" w:firstLineChars="200"/>
        <w:rPr>
          <w:rFonts w:ascii="仿宋" w:hAnsi="仿宋" w:eastAsia="仿宋"/>
          <w:snapToGrid w:val="0"/>
          <w:color w:val="000000"/>
          <w:sz w:val="24"/>
        </w:rPr>
      </w:pPr>
      <w:r>
        <w:rPr>
          <w:rFonts w:hint="eastAsia" w:ascii="仿宋" w:hAnsi="仿宋" w:eastAsia="仿宋"/>
          <w:snapToGrid w:val="0"/>
          <w:color w:val="000000"/>
          <w:sz w:val="24"/>
        </w:rPr>
        <w:t>1）供应商提供主要材料的品牌、型号、规格清单。加盖单位公章。</w:t>
      </w:r>
    </w:p>
    <w:p>
      <w:pPr>
        <w:spacing w:line="360" w:lineRule="auto"/>
        <w:ind w:firstLine="480" w:firstLineChars="200"/>
        <w:rPr>
          <w:rFonts w:ascii="仿宋" w:hAnsi="仿宋" w:eastAsia="仿宋"/>
          <w:bCs/>
          <w:snapToGrid w:val="0"/>
          <w:color w:val="000000"/>
          <w:sz w:val="24"/>
        </w:rPr>
      </w:pPr>
      <w:r>
        <w:rPr>
          <w:rFonts w:hint="eastAsia" w:ascii="仿宋" w:hAnsi="仿宋" w:eastAsia="仿宋"/>
          <w:bCs/>
          <w:snapToGrid w:val="0"/>
          <w:color w:val="000000"/>
          <w:sz w:val="24"/>
        </w:rPr>
        <w:t>2)供应商必须按照施工图纸和施工技术标准施工，不得擅自修改工程设计，不得偷工减料，否则，采购人对该材料、设备的费用将不予计量和结算，所造成的一切后果由供应商负责。</w:t>
      </w:r>
    </w:p>
    <w:p>
      <w:pPr>
        <w:spacing w:line="360" w:lineRule="auto"/>
        <w:ind w:firstLine="480" w:firstLineChars="200"/>
        <w:rPr>
          <w:rFonts w:ascii="仿宋" w:hAnsi="仿宋" w:eastAsia="仿宋"/>
          <w:bCs/>
          <w:snapToGrid w:val="0"/>
          <w:color w:val="000000"/>
          <w:sz w:val="24"/>
        </w:rPr>
      </w:pPr>
      <w:r>
        <w:rPr>
          <w:rFonts w:hint="eastAsia" w:ascii="仿宋" w:hAnsi="仿宋" w:eastAsia="仿宋"/>
          <w:bCs/>
          <w:snapToGrid w:val="0"/>
          <w:color w:val="000000"/>
          <w:sz w:val="24"/>
        </w:rPr>
        <w:t>3)供应商购买的材料、设备必须符合设计和规范要求，并提供出厂合格证等证明资料，采购人可随时对供应商所购买的材料、设备进行监督、检查。</w:t>
      </w:r>
    </w:p>
    <w:p>
      <w:pPr>
        <w:spacing w:line="360" w:lineRule="auto"/>
        <w:ind w:firstLine="480" w:firstLineChars="200"/>
        <w:rPr>
          <w:rFonts w:ascii="仿宋" w:hAnsi="仿宋" w:eastAsia="仿宋"/>
          <w:sz w:val="24"/>
        </w:rPr>
      </w:pPr>
    </w:p>
    <w:p>
      <w:pPr>
        <w:spacing w:line="360" w:lineRule="auto"/>
        <w:ind w:firstLine="482" w:firstLineChars="200"/>
        <w:rPr>
          <w:rFonts w:ascii="仿宋" w:hAnsi="仿宋" w:eastAsia="仿宋"/>
          <w:b/>
          <w:sz w:val="24"/>
        </w:rPr>
      </w:pPr>
      <w:r>
        <w:rPr>
          <w:rFonts w:hint="eastAsia" w:ascii="仿宋" w:hAnsi="仿宋" w:eastAsia="仿宋"/>
          <w:b/>
          <w:sz w:val="24"/>
        </w:rPr>
        <w:t>设备清单及设备参数</w:t>
      </w:r>
    </w:p>
    <w:tbl>
      <w:tblPr>
        <w:tblStyle w:val="2"/>
        <w:tblW w:w="7774" w:type="dxa"/>
        <w:jc w:val="center"/>
        <w:tblLayout w:type="autofit"/>
        <w:tblCellMar>
          <w:top w:w="0" w:type="dxa"/>
          <w:left w:w="108" w:type="dxa"/>
          <w:bottom w:w="0" w:type="dxa"/>
          <w:right w:w="108" w:type="dxa"/>
        </w:tblCellMar>
      </w:tblPr>
      <w:tblGrid>
        <w:gridCol w:w="1430"/>
        <w:gridCol w:w="3833"/>
        <w:gridCol w:w="992"/>
        <w:gridCol w:w="1519"/>
      </w:tblGrid>
      <w:tr>
        <w:tblPrEx>
          <w:tblCellMar>
            <w:top w:w="0" w:type="dxa"/>
            <w:left w:w="108" w:type="dxa"/>
            <w:bottom w:w="0" w:type="dxa"/>
            <w:right w:w="108" w:type="dxa"/>
          </w:tblCellMar>
        </w:tblPrEx>
        <w:trPr>
          <w:trHeight w:val="288"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3833"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设备名称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单位</w:t>
            </w:r>
          </w:p>
        </w:tc>
        <w:tc>
          <w:tcPr>
            <w:tcW w:w="1519"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数量</w:t>
            </w:r>
          </w:p>
        </w:tc>
      </w:tr>
      <w:tr>
        <w:tblPrEx>
          <w:tblCellMar>
            <w:top w:w="0" w:type="dxa"/>
            <w:left w:w="108" w:type="dxa"/>
            <w:bottom w:w="0" w:type="dxa"/>
            <w:right w:w="108" w:type="dxa"/>
          </w:tblCellMar>
        </w:tblPrEx>
        <w:trPr>
          <w:trHeight w:val="288" w:hRule="atLeast"/>
          <w:jc w:val="center"/>
        </w:trPr>
        <w:tc>
          <w:tcPr>
            <w:tcW w:w="14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1</w:t>
            </w:r>
          </w:p>
        </w:tc>
        <w:tc>
          <w:tcPr>
            <w:tcW w:w="3833"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00000"/>
                <w:kern w:val="0"/>
                <w:sz w:val="24"/>
              </w:rPr>
            </w:pPr>
            <w:r>
              <w:rPr>
                <w:rFonts w:hint="eastAsia" w:ascii="仿宋" w:hAnsi="仿宋" w:eastAsia="仿宋"/>
                <w:color w:val="000000"/>
                <w:sz w:val="24"/>
              </w:rPr>
              <w:t>双屏智慧教学一体机</w:t>
            </w:r>
          </w:p>
        </w:tc>
        <w:tc>
          <w:tcPr>
            <w:tcW w:w="992"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00000"/>
                <w:kern w:val="0"/>
                <w:sz w:val="24"/>
              </w:rPr>
            </w:pPr>
            <w:r>
              <w:rPr>
                <w:rFonts w:hint="eastAsia" w:ascii="仿宋" w:hAnsi="仿宋" w:eastAsia="仿宋"/>
                <w:color w:val="000000"/>
                <w:sz w:val="24"/>
              </w:rPr>
              <w:t xml:space="preserve">1 </w:t>
            </w:r>
          </w:p>
        </w:tc>
        <w:tc>
          <w:tcPr>
            <w:tcW w:w="1519"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00000"/>
                <w:kern w:val="0"/>
                <w:sz w:val="24"/>
              </w:rPr>
            </w:pPr>
            <w:r>
              <w:rPr>
                <w:rFonts w:hint="eastAsia" w:ascii="仿宋" w:hAnsi="仿宋" w:eastAsia="仿宋"/>
                <w:color w:val="000000"/>
                <w:sz w:val="24"/>
              </w:rPr>
              <w:t>套</w:t>
            </w:r>
          </w:p>
        </w:tc>
      </w:tr>
      <w:tr>
        <w:tblPrEx>
          <w:tblCellMar>
            <w:top w:w="0" w:type="dxa"/>
            <w:left w:w="108" w:type="dxa"/>
            <w:bottom w:w="0" w:type="dxa"/>
            <w:right w:w="108" w:type="dxa"/>
          </w:tblCellMar>
        </w:tblPrEx>
        <w:trPr>
          <w:trHeight w:val="288" w:hRule="atLeast"/>
          <w:jc w:val="center"/>
        </w:trPr>
        <w:tc>
          <w:tcPr>
            <w:tcW w:w="14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2</w:t>
            </w:r>
          </w:p>
        </w:tc>
        <w:tc>
          <w:tcPr>
            <w:tcW w:w="3833"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全千兆POE交换机</w:t>
            </w:r>
          </w:p>
        </w:tc>
        <w:tc>
          <w:tcPr>
            <w:tcW w:w="992"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 xml:space="preserve">1 </w:t>
            </w:r>
          </w:p>
        </w:tc>
        <w:tc>
          <w:tcPr>
            <w:tcW w:w="1519"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台</w:t>
            </w:r>
          </w:p>
        </w:tc>
      </w:tr>
      <w:tr>
        <w:tblPrEx>
          <w:tblCellMar>
            <w:top w:w="0" w:type="dxa"/>
            <w:left w:w="108" w:type="dxa"/>
            <w:bottom w:w="0" w:type="dxa"/>
            <w:right w:w="108" w:type="dxa"/>
          </w:tblCellMar>
        </w:tblPrEx>
        <w:trPr>
          <w:trHeight w:val="288" w:hRule="atLeast"/>
          <w:jc w:val="center"/>
        </w:trPr>
        <w:tc>
          <w:tcPr>
            <w:tcW w:w="14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3</w:t>
            </w:r>
          </w:p>
        </w:tc>
        <w:tc>
          <w:tcPr>
            <w:tcW w:w="3833"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门禁主机套装</w:t>
            </w:r>
          </w:p>
        </w:tc>
        <w:tc>
          <w:tcPr>
            <w:tcW w:w="992"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 xml:space="preserve">1 </w:t>
            </w:r>
          </w:p>
        </w:tc>
        <w:tc>
          <w:tcPr>
            <w:tcW w:w="1519"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台</w:t>
            </w:r>
          </w:p>
        </w:tc>
      </w:tr>
      <w:tr>
        <w:tblPrEx>
          <w:tblCellMar>
            <w:top w:w="0" w:type="dxa"/>
            <w:left w:w="108" w:type="dxa"/>
            <w:bottom w:w="0" w:type="dxa"/>
            <w:right w:w="108" w:type="dxa"/>
          </w:tblCellMar>
        </w:tblPrEx>
        <w:trPr>
          <w:trHeight w:val="288" w:hRule="atLeast"/>
          <w:jc w:val="center"/>
        </w:trPr>
        <w:tc>
          <w:tcPr>
            <w:tcW w:w="14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4</w:t>
            </w:r>
          </w:p>
        </w:tc>
        <w:tc>
          <w:tcPr>
            <w:tcW w:w="3833"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移动升降式讲台</w:t>
            </w:r>
          </w:p>
        </w:tc>
        <w:tc>
          <w:tcPr>
            <w:tcW w:w="992"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 xml:space="preserve">1 </w:t>
            </w:r>
          </w:p>
        </w:tc>
        <w:tc>
          <w:tcPr>
            <w:tcW w:w="1519"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套</w:t>
            </w:r>
          </w:p>
        </w:tc>
      </w:tr>
      <w:tr>
        <w:tblPrEx>
          <w:tblCellMar>
            <w:top w:w="0" w:type="dxa"/>
            <w:left w:w="108" w:type="dxa"/>
            <w:bottom w:w="0" w:type="dxa"/>
            <w:right w:w="108" w:type="dxa"/>
          </w:tblCellMar>
        </w:tblPrEx>
        <w:trPr>
          <w:trHeight w:val="288" w:hRule="atLeast"/>
          <w:jc w:val="center"/>
        </w:trPr>
        <w:tc>
          <w:tcPr>
            <w:tcW w:w="14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5</w:t>
            </w:r>
          </w:p>
        </w:tc>
        <w:tc>
          <w:tcPr>
            <w:tcW w:w="3833"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sz w:val="24"/>
              </w:rPr>
            </w:pPr>
            <w:r>
              <w:rPr>
                <w:rFonts w:hint="eastAsia" w:ascii="仿宋" w:hAnsi="仿宋" w:eastAsia="仿宋"/>
                <w:sz w:val="24"/>
              </w:rPr>
              <w:t>强弱电材料及改造费用</w:t>
            </w:r>
          </w:p>
        </w:tc>
        <w:tc>
          <w:tcPr>
            <w:tcW w:w="992"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D0D0D"/>
                <w:sz w:val="24"/>
              </w:rPr>
            </w:pPr>
            <w:r>
              <w:rPr>
                <w:rFonts w:hint="eastAsia" w:ascii="仿宋" w:hAnsi="仿宋" w:eastAsia="仿宋"/>
                <w:color w:val="0D0D0D"/>
                <w:sz w:val="24"/>
              </w:rPr>
              <w:t>1</w:t>
            </w:r>
          </w:p>
        </w:tc>
        <w:tc>
          <w:tcPr>
            <w:tcW w:w="1519"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D0D0D"/>
                <w:sz w:val="24"/>
              </w:rPr>
            </w:pPr>
            <w:r>
              <w:rPr>
                <w:rFonts w:hint="eastAsia" w:ascii="仿宋" w:hAnsi="仿宋" w:eastAsia="仿宋"/>
                <w:color w:val="0D0D0D"/>
                <w:sz w:val="24"/>
              </w:rPr>
              <w:t>项</w:t>
            </w:r>
          </w:p>
        </w:tc>
      </w:tr>
      <w:tr>
        <w:tblPrEx>
          <w:tblCellMar>
            <w:top w:w="0" w:type="dxa"/>
            <w:left w:w="108" w:type="dxa"/>
            <w:bottom w:w="0" w:type="dxa"/>
            <w:right w:w="108" w:type="dxa"/>
          </w:tblCellMar>
        </w:tblPrEx>
        <w:trPr>
          <w:trHeight w:val="288" w:hRule="atLeast"/>
          <w:jc w:val="center"/>
        </w:trPr>
        <w:tc>
          <w:tcPr>
            <w:tcW w:w="14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6</w:t>
            </w:r>
          </w:p>
        </w:tc>
        <w:tc>
          <w:tcPr>
            <w:tcW w:w="3833"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sz w:val="24"/>
              </w:rPr>
            </w:pPr>
            <w:r>
              <w:rPr>
                <w:rFonts w:hint="eastAsia" w:ascii="仿宋" w:hAnsi="仿宋" w:eastAsia="仿宋"/>
                <w:sz w:val="24"/>
              </w:rPr>
              <w:t>加厚窗帘布</w:t>
            </w:r>
          </w:p>
        </w:tc>
        <w:tc>
          <w:tcPr>
            <w:tcW w:w="992"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sz w:val="24"/>
              </w:rPr>
            </w:pPr>
            <w:r>
              <w:rPr>
                <w:rFonts w:hint="eastAsia" w:ascii="仿宋" w:hAnsi="仿宋" w:eastAsia="仿宋"/>
                <w:sz w:val="24"/>
              </w:rPr>
              <w:t>32</w:t>
            </w:r>
          </w:p>
        </w:tc>
        <w:tc>
          <w:tcPr>
            <w:tcW w:w="1519"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D0D0D"/>
                <w:sz w:val="24"/>
              </w:rPr>
            </w:pPr>
            <w:r>
              <w:rPr>
                <w:rFonts w:hint="eastAsia" w:ascii="仿宋" w:hAnsi="仿宋" w:eastAsia="仿宋"/>
                <w:color w:val="0D0D0D"/>
                <w:sz w:val="24"/>
              </w:rPr>
              <w:t>米</w:t>
            </w:r>
          </w:p>
        </w:tc>
      </w:tr>
      <w:tr>
        <w:tblPrEx>
          <w:tblCellMar>
            <w:top w:w="0" w:type="dxa"/>
            <w:left w:w="108" w:type="dxa"/>
            <w:bottom w:w="0" w:type="dxa"/>
            <w:right w:w="108" w:type="dxa"/>
          </w:tblCellMar>
        </w:tblPrEx>
        <w:trPr>
          <w:trHeight w:val="288" w:hRule="atLeast"/>
          <w:jc w:val="center"/>
        </w:trPr>
        <w:tc>
          <w:tcPr>
            <w:tcW w:w="14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7</w:t>
            </w:r>
          </w:p>
        </w:tc>
        <w:tc>
          <w:tcPr>
            <w:tcW w:w="3833"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系统集成</w:t>
            </w:r>
          </w:p>
        </w:tc>
        <w:tc>
          <w:tcPr>
            <w:tcW w:w="992"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 xml:space="preserve">1 </w:t>
            </w:r>
          </w:p>
        </w:tc>
        <w:tc>
          <w:tcPr>
            <w:tcW w:w="1519"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项</w:t>
            </w:r>
          </w:p>
        </w:tc>
      </w:tr>
    </w:tbl>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tbl>
      <w:tblPr>
        <w:tblStyle w:val="2"/>
        <w:tblW w:w="54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72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5" w:type="pct"/>
            <w:shd w:val="clear" w:color="auto" w:fill="auto"/>
            <w:noWrap/>
            <w:vAlign w:val="center"/>
          </w:tcPr>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925" w:type="pct"/>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设备名称</w:t>
            </w:r>
          </w:p>
        </w:tc>
        <w:tc>
          <w:tcPr>
            <w:tcW w:w="3650" w:type="pct"/>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25" w:type="pct"/>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w:t>
            </w:r>
          </w:p>
        </w:tc>
        <w:tc>
          <w:tcPr>
            <w:tcW w:w="925" w:type="pct"/>
            <w:shd w:val="clear" w:color="auto" w:fill="auto"/>
            <w:vAlign w:val="center"/>
          </w:tcPr>
          <w:p>
            <w:pPr>
              <w:spacing w:line="360" w:lineRule="auto"/>
              <w:ind w:firstLine="480" w:firstLineChars="200"/>
              <w:rPr>
                <w:rFonts w:ascii="仿宋" w:hAnsi="仿宋" w:eastAsia="仿宋"/>
                <w:color w:val="000000"/>
                <w:kern w:val="0"/>
                <w:sz w:val="24"/>
              </w:rPr>
            </w:pPr>
            <w:r>
              <w:rPr>
                <w:rFonts w:hint="eastAsia" w:ascii="仿宋" w:hAnsi="仿宋" w:eastAsia="仿宋"/>
                <w:color w:val="000000"/>
                <w:sz w:val="24"/>
              </w:rPr>
              <w:t>双屏智慧教学一体机</w:t>
            </w:r>
          </w:p>
        </w:tc>
        <w:tc>
          <w:tcPr>
            <w:tcW w:w="3650" w:type="pct"/>
            <w:shd w:val="clear" w:color="auto" w:fill="auto"/>
            <w:vAlign w:val="center"/>
          </w:tcPr>
          <w:p>
            <w:pPr>
              <w:spacing w:line="360" w:lineRule="auto"/>
              <w:rPr>
                <w:rFonts w:ascii="仿宋" w:hAnsi="仿宋" w:eastAsia="仿宋"/>
                <w:color w:val="000000"/>
                <w:sz w:val="24"/>
              </w:rPr>
            </w:pPr>
            <w:r>
              <w:rPr>
                <w:rFonts w:hint="eastAsia" w:ascii="仿宋" w:hAnsi="仿宋" w:eastAsia="仿宋"/>
                <w:color w:val="000000"/>
                <w:sz w:val="24"/>
              </w:rPr>
              <w:t>1、尺寸: 由两台86寸（对角线）的UHD超高清LED 液晶屏组成，分辨率均为3840*2160，屏幕采用全贴合技术，且色域值≥NTSC 90%，且整机书写屏幕具备防眩光效果。（提供白皮书、彩页等相关证明文件复印件并加盖厂家公章）</w:t>
            </w:r>
          </w:p>
          <w:p>
            <w:pPr>
              <w:spacing w:line="360" w:lineRule="auto"/>
              <w:rPr>
                <w:rFonts w:ascii="仿宋" w:hAnsi="仿宋" w:eastAsia="仿宋"/>
                <w:color w:val="000000"/>
                <w:sz w:val="24"/>
              </w:rPr>
            </w:pPr>
            <w:r>
              <w:rPr>
                <w:rFonts w:hint="eastAsia" w:ascii="仿宋" w:hAnsi="仿宋" w:eastAsia="仿宋"/>
                <w:color w:val="000000"/>
                <w:sz w:val="24"/>
              </w:rPr>
              <w:t>2、为了保证整机显示效果更好，屏占比（有效显示面积/整机外观尺寸）≥90%，整机的下边框宽度≤10mm，屏幕缝隙（主副屏开机后显示画面之间的距离）≤30mm。</w:t>
            </w:r>
          </w:p>
          <w:p>
            <w:pPr>
              <w:spacing w:line="360" w:lineRule="auto"/>
              <w:rPr>
                <w:rFonts w:ascii="仿宋" w:hAnsi="仿宋" w:eastAsia="仿宋"/>
                <w:color w:val="000000"/>
                <w:sz w:val="24"/>
              </w:rPr>
            </w:pPr>
            <w:r>
              <w:rPr>
                <w:rFonts w:hint="eastAsia" w:ascii="仿宋" w:hAnsi="仿宋" w:eastAsia="仿宋"/>
                <w:color w:val="000000"/>
                <w:sz w:val="24"/>
              </w:rPr>
              <w:t>3、为了保障更好的设备使用与便捷性，整机需要采用一体化供电，即主副屏之间的供电只需要一根外部电源线即可完成。(提供国家认可的检测机构出具的检测（或测试）报告复印件，报告封面应有CMA、CNAS标志)</w:t>
            </w:r>
          </w:p>
          <w:p>
            <w:pPr>
              <w:spacing w:line="360" w:lineRule="auto"/>
              <w:rPr>
                <w:rFonts w:ascii="仿宋" w:hAnsi="仿宋" w:eastAsia="仿宋"/>
                <w:color w:val="000000"/>
                <w:sz w:val="24"/>
              </w:rPr>
            </w:pPr>
            <w:r>
              <w:rPr>
                <w:rFonts w:hint="eastAsia" w:ascii="仿宋" w:hAnsi="仿宋" w:eastAsia="仿宋"/>
                <w:color w:val="000000"/>
                <w:sz w:val="24"/>
              </w:rPr>
              <w:t>4、采用电容触控方式，支持Windows系统中进行20点或以上触控。(提供国家认可的检测机构出具的检测（或测试）报告复印件，报告封面应有CMA、CNAS标志)</w:t>
            </w:r>
          </w:p>
          <w:p>
            <w:pPr>
              <w:spacing w:line="360" w:lineRule="auto"/>
              <w:rPr>
                <w:rFonts w:ascii="仿宋" w:hAnsi="仿宋" w:eastAsia="仿宋"/>
                <w:color w:val="000000"/>
                <w:sz w:val="24"/>
              </w:rPr>
            </w:pPr>
            <w:r>
              <w:rPr>
                <w:rFonts w:hint="eastAsia" w:ascii="仿宋" w:hAnsi="仿宋" w:eastAsia="仿宋"/>
                <w:color w:val="000000"/>
                <w:sz w:val="24"/>
              </w:rPr>
              <w:t>5、为了满足日常教学使用，整机需具备日常使用接口。输入接口至少具备：1路HDMI、1路RS232、1路TypeC、1路USB接口；输出接口至少具备：1路音频输出、1路触控输出USB。(提供国家认可的检测机构出具的检测（或测试）报告复印件，报告封面应有CMA、CNAS标志)</w:t>
            </w:r>
          </w:p>
          <w:p>
            <w:pPr>
              <w:spacing w:line="360" w:lineRule="auto"/>
              <w:rPr>
                <w:rFonts w:ascii="仿宋" w:hAnsi="仿宋" w:eastAsia="仿宋"/>
                <w:color w:val="000000"/>
                <w:sz w:val="24"/>
              </w:rPr>
            </w:pPr>
            <w:r>
              <w:rPr>
                <w:rFonts w:hint="eastAsia" w:ascii="仿宋" w:hAnsi="仿宋" w:eastAsia="仿宋"/>
                <w:color w:val="000000"/>
                <w:sz w:val="24"/>
              </w:rPr>
              <w:t>6、独立按键设计：整机物理按键采用简洁化设计，具备独立物理按键，通过轻按按键实现节能熄屏/唤醒，长按按键实现关机。(提供国家认可的检测机构出具的检测（或测试）报告复印件，报告封面应有CMA、CNAS标志)</w:t>
            </w:r>
          </w:p>
          <w:p>
            <w:pPr>
              <w:spacing w:line="360" w:lineRule="auto"/>
              <w:rPr>
                <w:rFonts w:ascii="仿宋" w:hAnsi="仿宋" w:eastAsia="仿宋"/>
                <w:color w:val="000000"/>
                <w:sz w:val="24"/>
              </w:rPr>
            </w:pPr>
            <w:r>
              <w:rPr>
                <w:rFonts w:hint="eastAsia" w:ascii="仿宋" w:hAnsi="仿宋" w:eastAsia="仿宋"/>
                <w:color w:val="000000"/>
                <w:sz w:val="24"/>
              </w:rPr>
              <w:t>7、音响：整机具备2.1声道的音响，总功率不低于50W，音质更加清晰和有质感。(提供国家认可的检测机构出具的检测（或测试）报告复印件，报告封面应有CMA、CNAS标志)</w:t>
            </w:r>
          </w:p>
          <w:p>
            <w:pPr>
              <w:spacing w:line="360" w:lineRule="auto"/>
              <w:rPr>
                <w:rFonts w:ascii="仿宋" w:hAnsi="仿宋" w:eastAsia="仿宋"/>
                <w:color w:val="000000"/>
                <w:sz w:val="24"/>
              </w:rPr>
            </w:pPr>
            <w:r>
              <w:rPr>
                <w:rFonts w:hint="eastAsia" w:ascii="仿宋" w:hAnsi="仿宋" w:eastAsia="仿宋"/>
                <w:color w:val="000000"/>
                <w:sz w:val="24"/>
              </w:rPr>
              <w:t>8、为实现微课录制，整机需内置非独立外扩展麦克，拾音孔数量不低于6个，拾音角度不低于180度，方便教室音频进行采集。(提供国家认可的检测机构出具的检测（或测试）报告复印件，报告封面应有CMA、CNAS标志)</w:t>
            </w:r>
          </w:p>
          <w:p>
            <w:pPr>
              <w:spacing w:line="360" w:lineRule="auto"/>
              <w:rPr>
                <w:rFonts w:ascii="仿宋" w:hAnsi="仿宋" w:eastAsia="仿宋"/>
                <w:color w:val="000000"/>
                <w:sz w:val="24"/>
              </w:rPr>
            </w:pPr>
            <w:r>
              <w:rPr>
                <w:rFonts w:hint="eastAsia" w:ascii="仿宋" w:hAnsi="仿宋" w:eastAsia="仿宋"/>
                <w:color w:val="000000"/>
                <w:sz w:val="24"/>
              </w:rPr>
              <w:t>9、为实现远程巡课、远程教学等，整机需标配前置摄像头，像素值≥800万。</w:t>
            </w:r>
          </w:p>
          <w:p>
            <w:pPr>
              <w:spacing w:line="360" w:lineRule="auto"/>
              <w:rPr>
                <w:rFonts w:ascii="仿宋" w:hAnsi="仿宋" w:eastAsia="仿宋"/>
                <w:color w:val="000000"/>
                <w:sz w:val="24"/>
              </w:rPr>
            </w:pPr>
            <w:r>
              <w:rPr>
                <w:rFonts w:hint="eastAsia" w:ascii="仿宋" w:hAnsi="仿宋" w:eastAsia="仿宋"/>
                <w:color w:val="000000"/>
                <w:sz w:val="24"/>
              </w:rPr>
              <w:t>10、外接电脑设备通过标准TypeC线连接至整机TypeC口，可直接调用整机内置的摄像头、麦克风、扬声器，在外接电脑即可拍摄教室画面。(提供国家认可的检测机构出具的检测（或测试）报告复印件，报告封面应有CMA、CNAS标志)</w:t>
            </w:r>
          </w:p>
          <w:p>
            <w:pPr>
              <w:spacing w:line="360" w:lineRule="auto"/>
              <w:rPr>
                <w:rFonts w:ascii="仿宋" w:hAnsi="仿宋" w:eastAsia="仿宋"/>
                <w:color w:val="000000"/>
                <w:sz w:val="24"/>
              </w:rPr>
            </w:pPr>
            <w:r>
              <w:rPr>
                <w:rFonts w:hint="eastAsia" w:ascii="仿宋" w:hAnsi="仿宋" w:eastAsia="仿宋"/>
                <w:color w:val="000000"/>
                <w:sz w:val="24"/>
              </w:rPr>
              <w:t>11、支持黑板关闭后整机自动节能，当整机安装到推拉黑板中时，关闭推拉黑板一分钟，整机自动熄屏。</w:t>
            </w:r>
          </w:p>
          <w:p>
            <w:pPr>
              <w:spacing w:line="360" w:lineRule="auto"/>
              <w:rPr>
                <w:rFonts w:ascii="仿宋" w:hAnsi="仿宋" w:eastAsia="仿宋"/>
                <w:color w:val="000000"/>
                <w:sz w:val="24"/>
              </w:rPr>
            </w:pPr>
            <w:r>
              <w:rPr>
                <w:rFonts w:hint="eastAsia" w:ascii="仿宋" w:hAnsi="仿宋" w:eastAsia="仿宋"/>
                <w:color w:val="000000"/>
                <w:sz w:val="24"/>
              </w:rPr>
              <w:t>12、支持对任意通道进行批注，同时支持手势识别调出板擦工具擦除批注内容，可根据手与屏幕的接触面积自动调整板擦工具的大小。</w:t>
            </w:r>
          </w:p>
          <w:p>
            <w:pPr>
              <w:spacing w:line="360" w:lineRule="auto"/>
              <w:rPr>
                <w:rFonts w:ascii="仿宋" w:hAnsi="仿宋" w:eastAsia="仿宋"/>
                <w:color w:val="000000"/>
                <w:sz w:val="24"/>
              </w:rPr>
            </w:pPr>
            <w:r>
              <w:rPr>
                <w:rFonts w:hint="eastAsia" w:ascii="仿宋" w:hAnsi="仿宋" w:eastAsia="仿宋"/>
                <w:color w:val="000000"/>
                <w:sz w:val="24"/>
              </w:rPr>
              <w:t>13、整机内置独立AP路由模块，连接到整机AP路由的学生端能够同步接收整机教师端组播推送的视频、课件教学画面，学生端无需连接到外部无线路由器，支持不少于40个学生端同时连接到整机自发的AP路由网络。(提供国家认可的检测机构出具的检测（或测试）报告复印件，报告封面应有CMA、CNAS标志)</w:t>
            </w:r>
          </w:p>
          <w:p>
            <w:pPr>
              <w:spacing w:line="360" w:lineRule="auto"/>
              <w:rPr>
                <w:rFonts w:ascii="仿宋" w:hAnsi="仿宋" w:eastAsia="仿宋"/>
                <w:color w:val="000000"/>
                <w:sz w:val="24"/>
              </w:rPr>
            </w:pPr>
            <w:r>
              <w:rPr>
                <w:rFonts w:hint="eastAsia" w:ascii="仿宋" w:hAnsi="仿宋" w:eastAsia="仿宋"/>
                <w:color w:val="000000"/>
                <w:sz w:val="24"/>
              </w:rPr>
              <w:t>14、整机支持主动电容笔书写，书写时手掌掌托接触屏幕时不会对笔的书写造成干扰，提高授课效率。</w:t>
            </w:r>
          </w:p>
          <w:p>
            <w:pPr>
              <w:spacing w:line="360" w:lineRule="auto"/>
              <w:rPr>
                <w:rFonts w:ascii="仿宋" w:hAnsi="仿宋" w:eastAsia="仿宋"/>
                <w:color w:val="000000"/>
                <w:sz w:val="24"/>
              </w:rPr>
            </w:pPr>
            <w:r>
              <w:rPr>
                <w:rFonts w:hint="eastAsia" w:ascii="仿宋" w:hAnsi="仿宋" w:eastAsia="仿宋"/>
                <w:color w:val="000000"/>
                <w:sz w:val="24"/>
              </w:rPr>
              <w:t>15、整机内置触摸中控菜单，无须实体按键，在任意显示通道下均可通过手势在屏幕上调取该触摸菜单。</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二、内置电脑模块</w:t>
            </w:r>
          </w:p>
          <w:p>
            <w:pPr>
              <w:spacing w:line="360" w:lineRule="auto"/>
              <w:rPr>
                <w:rFonts w:ascii="仿宋" w:hAnsi="仿宋" w:eastAsia="仿宋"/>
                <w:color w:val="000000"/>
                <w:sz w:val="24"/>
              </w:rPr>
            </w:pPr>
            <w:r>
              <w:rPr>
                <w:rFonts w:hint="eastAsia" w:ascii="仿宋" w:hAnsi="仿宋" w:eastAsia="仿宋"/>
                <w:color w:val="000000"/>
                <w:sz w:val="24"/>
              </w:rPr>
              <w:t>1、内置电脑模块配置：主板采用主板采用H310芯片组，Intel I5 8代处理器，8GB DDR4笔记本内存或以上配置，硬盘采用256GB或以上SSD固态硬盘。接口：USB 3.0≧3、HDMI≧1、LAN≧1、MIC IN≧1。</w:t>
            </w:r>
          </w:p>
          <w:p>
            <w:pPr>
              <w:spacing w:line="360" w:lineRule="auto"/>
              <w:rPr>
                <w:rFonts w:ascii="仿宋" w:hAnsi="仿宋" w:eastAsia="仿宋"/>
                <w:color w:val="000000"/>
                <w:sz w:val="24"/>
              </w:rPr>
            </w:pPr>
            <w:r>
              <w:rPr>
                <w:rFonts w:hint="eastAsia" w:ascii="仿宋" w:hAnsi="仿宋" w:eastAsia="仿宋"/>
                <w:color w:val="000000"/>
                <w:sz w:val="24"/>
              </w:rPr>
              <w:t>2、采用抽拉内置式模块化电脑，PC模块可实现无单独接线的插入整机或从整机中拔出。</w:t>
            </w:r>
          </w:p>
          <w:p>
            <w:pPr>
              <w:spacing w:line="360" w:lineRule="auto"/>
              <w:rPr>
                <w:rFonts w:ascii="仿宋" w:hAnsi="仿宋" w:eastAsia="仿宋"/>
                <w:color w:val="000000"/>
                <w:sz w:val="24"/>
              </w:rPr>
            </w:pPr>
            <w:r>
              <w:rPr>
                <w:rFonts w:hint="eastAsia" w:ascii="仿宋" w:hAnsi="仿宋" w:eastAsia="仿宋"/>
                <w:color w:val="000000"/>
                <w:sz w:val="24"/>
              </w:rPr>
              <w:t>3、PC模块的USB接口须为冗余备份接口，在正常使用整机的内置摄像头、内置麦克风功能时，USB接口不被占用，确保教师有足够的接口外接存储设备及显示设备</w:t>
            </w:r>
          </w:p>
          <w:p>
            <w:pPr>
              <w:spacing w:line="360" w:lineRule="auto"/>
              <w:rPr>
                <w:rFonts w:ascii="仿宋" w:hAnsi="仿宋" w:eastAsia="仿宋"/>
                <w:color w:val="000000"/>
                <w:sz w:val="24"/>
              </w:rPr>
            </w:pPr>
            <w:r>
              <w:rPr>
                <w:rFonts w:hint="eastAsia" w:ascii="仿宋" w:hAnsi="仿宋" w:eastAsia="仿宋"/>
                <w:color w:val="000000"/>
                <w:sz w:val="24"/>
              </w:rPr>
              <w:t>三、双屏软件功能</w:t>
            </w:r>
          </w:p>
          <w:p>
            <w:pPr>
              <w:spacing w:line="360" w:lineRule="auto"/>
              <w:rPr>
                <w:rFonts w:ascii="仿宋" w:hAnsi="仿宋" w:eastAsia="仿宋"/>
                <w:color w:val="000000"/>
                <w:sz w:val="24"/>
              </w:rPr>
            </w:pPr>
            <w:r>
              <w:rPr>
                <w:rFonts w:hint="eastAsia" w:ascii="仿宋" w:hAnsi="仿宋" w:eastAsia="仿宋"/>
                <w:color w:val="000000"/>
                <w:sz w:val="24"/>
              </w:rPr>
              <w:t>1、采用备授课一体化的框架设计，支持在双屏下显示交互式一体课件和授课，而无需使用特殊的备课端软件。</w:t>
            </w:r>
          </w:p>
          <w:p>
            <w:pPr>
              <w:spacing w:line="360" w:lineRule="auto"/>
              <w:rPr>
                <w:rFonts w:ascii="仿宋" w:hAnsi="仿宋" w:eastAsia="仿宋"/>
                <w:color w:val="000000"/>
                <w:sz w:val="24"/>
              </w:rPr>
            </w:pPr>
            <w:r>
              <w:rPr>
                <w:rFonts w:hint="eastAsia" w:ascii="仿宋" w:hAnsi="仿宋" w:eastAsia="仿宋"/>
                <w:color w:val="000000"/>
                <w:sz w:val="24"/>
              </w:rPr>
              <w:t>2、默认主屏幕显示互动教学课件，副屏幕显示电子演算板；电子演算板可以收起显示系统桌面。</w:t>
            </w:r>
          </w:p>
          <w:p>
            <w:pPr>
              <w:spacing w:line="360" w:lineRule="auto"/>
              <w:rPr>
                <w:rFonts w:ascii="仿宋" w:hAnsi="仿宋" w:eastAsia="仿宋"/>
                <w:color w:val="000000"/>
                <w:sz w:val="24"/>
              </w:rPr>
            </w:pPr>
            <w:r>
              <w:rPr>
                <w:rFonts w:hint="eastAsia" w:ascii="仿宋" w:hAnsi="仿宋" w:eastAsia="仿宋"/>
                <w:color w:val="000000"/>
                <w:sz w:val="24"/>
              </w:rPr>
              <w:t>3、支持将互动教学课件中的图片、视频、形状元素穿越到电子演算板。(提供国家认可的检测机构出具的检测（或测试）报告复印件，报告封面应有CMA、CNAS标志)</w:t>
            </w:r>
          </w:p>
          <w:p>
            <w:pPr>
              <w:spacing w:line="360" w:lineRule="auto"/>
              <w:rPr>
                <w:rFonts w:ascii="仿宋" w:hAnsi="仿宋" w:eastAsia="仿宋"/>
                <w:color w:val="000000"/>
                <w:sz w:val="24"/>
              </w:rPr>
            </w:pPr>
            <w:r>
              <w:rPr>
                <w:rFonts w:hint="eastAsia" w:ascii="仿宋" w:hAnsi="仿宋" w:eastAsia="仿宋"/>
                <w:color w:val="000000"/>
                <w:sz w:val="24"/>
              </w:rPr>
              <w:t>4、可自由切换两个屏幕的布局，支持将屏幕内容互换或复制，在主副屏上都可以发起互换。(提供国家认可的检测机构出具的检测（或测试）报告复印件，报告封面应有CMA、CNAS标志)</w:t>
            </w:r>
          </w:p>
          <w:p>
            <w:pPr>
              <w:spacing w:line="360" w:lineRule="auto"/>
              <w:rPr>
                <w:rFonts w:ascii="仿宋" w:hAnsi="仿宋" w:eastAsia="仿宋"/>
                <w:color w:val="000000"/>
                <w:sz w:val="24"/>
              </w:rPr>
            </w:pPr>
            <w:r>
              <w:rPr>
                <w:rFonts w:hint="eastAsia" w:ascii="仿宋" w:hAnsi="仿宋" w:eastAsia="仿宋"/>
                <w:color w:val="000000"/>
                <w:sz w:val="24"/>
              </w:rPr>
              <w:t>5、支持双屏模式切换功能，用户在主屏或副屏两侧的快捷菜单中均可实现不少于6种双屏模式的一键切换，以实现满足不同双屏教学需求</w:t>
            </w:r>
          </w:p>
          <w:p>
            <w:pPr>
              <w:spacing w:line="360" w:lineRule="auto"/>
              <w:rPr>
                <w:rFonts w:ascii="仿宋" w:hAnsi="仿宋" w:eastAsia="仿宋"/>
                <w:color w:val="000000"/>
                <w:sz w:val="24"/>
              </w:rPr>
            </w:pPr>
            <w:r>
              <w:rPr>
                <w:rFonts w:hint="eastAsia" w:ascii="仿宋" w:hAnsi="仿宋" w:eastAsia="仿宋"/>
                <w:color w:val="000000"/>
                <w:sz w:val="24"/>
              </w:rPr>
              <w:t>6、用户可通过主屏或副屏两侧的快捷菜单按键一键切换至内置PC复制显示模式，实现主、副屏同时复制显示内置PC的画面，且主、副屏能正常触控操作，无需用户进行其它配置</w:t>
            </w:r>
          </w:p>
          <w:p>
            <w:pPr>
              <w:spacing w:line="360" w:lineRule="auto"/>
              <w:rPr>
                <w:rFonts w:ascii="仿宋" w:hAnsi="仿宋" w:eastAsia="仿宋"/>
                <w:color w:val="000000"/>
                <w:sz w:val="24"/>
              </w:rPr>
            </w:pPr>
            <w:r>
              <w:rPr>
                <w:rFonts w:hint="eastAsia" w:ascii="仿宋" w:hAnsi="仿宋" w:eastAsia="仿宋"/>
                <w:color w:val="000000"/>
                <w:sz w:val="24"/>
              </w:rPr>
              <w:t>7、用户可通过主屏或副屏两侧的快捷菜单按键一键切换至内置PC扩展显示模式，实现主、副屏分别显示Windows主画面和扩展画面，且主、副屏能正常触控操作，无需用户进行其它配置</w:t>
            </w:r>
          </w:p>
          <w:p>
            <w:pPr>
              <w:spacing w:line="360" w:lineRule="auto"/>
              <w:rPr>
                <w:rFonts w:ascii="仿宋" w:hAnsi="仿宋" w:eastAsia="仿宋"/>
                <w:color w:val="000000"/>
                <w:sz w:val="24"/>
              </w:rPr>
            </w:pPr>
            <w:r>
              <w:rPr>
                <w:rFonts w:hint="eastAsia" w:ascii="仿宋" w:hAnsi="仿宋" w:eastAsia="仿宋"/>
                <w:color w:val="000000"/>
                <w:sz w:val="24"/>
              </w:rPr>
              <w:t>8、在内置PC扩展显示模式下，用户可以对调主副屏画面，在打开教学课件、电子白板或处于Windows桌面时均可实现对调，且对调后无需做任何设置即可进行触控操作</w:t>
            </w:r>
          </w:p>
          <w:p>
            <w:pPr>
              <w:spacing w:line="360" w:lineRule="auto"/>
              <w:rPr>
                <w:rFonts w:ascii="仿宋" w:hAnsi="仿宋" w:eastAsia="仿宋"/>
                <w:color w:val="000000"/>
                <w:sz w:val="24"/>
              </w:rPr>
            </w:pPr>
            <w:r>
              <w:rPr>
                <w:rFonts w:hint="eastAsia" w:ascii="仿宋" w:hAnsi="仿宋" w:eastAsia="仿宋"/>
                <w:color w:val="000000"/>
                <w:sz w:val="24"/>
              </w:rPr>
              <w:t>9、用户可通过主屏或副屏两侧的快捷菜单按键一键切换至主屏HDMI副屏内置PC模式，实现主、副屏分别显示主屏外接HDMI通道画面和内置PC画面，且主、副屏能正常触控操作，无需用户进行其它配置</w:t>
            </w:r>
          </w:p>
          <w:p>
            <w:pPr>
              <w:spacing w:line="360" w:lineRule="auto"/>
              <w:rPr>
                <w:rFonts w:ascii="仿宋" w:hAnsi="仿宋" w:eastAsia="仿宋"/>
                <w:color w:val="000000"/>
                <w:sz w:val="24"/>
              </w:rPr>
            </w:pPr>
            <w:r>
              <w:rPr>
                <w:rFonts w:hint="eastAsia" w:ascii="仿宋" w:hAnsi="仿宋" w:eastAsia="仿宋"/>
                <w:color w:val="000000"/>
                <w:sz w:val="24"/>
              </w:rPr>
              <w:t>10、用户可通过主屏或副屏两侧的快捷菜单按键一键切换至主屏HDMI副屏HDMI模式，实现主、副屏分别显示主屏外接HDMI通道画面和副屏外接HDMI通道画面，且主、副屏能正常触控操作，无需用户进行其它配置</w:t>
            </w:r>
          </w:p>
          <w:p>
            <w:pPr>
              <w:spacing w:line="360" w:lineRule="auto"/>
              <w:rPr>
                <w:rFonts w:ascii="仿宋" w:hAnsi="仿宋" w:eastAsia="仿宋"/>
                <w:color w:val="000000"/>
                <w:sz w:val="24"/>
              </w:rPr>
            </w:pPr>
            <w:r>
              <w:rPr>
                <w:rFonts w:hint="eastAsia" w:ascii="仿宋" w:hAnsi="仿宋" w:eastAsia="仿宋"/>
                <w:color w:val="000000"/>
                <w:sz w:val="24"/>
              </w:rPr>
              <w:t xml:space="preserve">11、用户可通过主屏或副屏两侧的快捷菜单按键一键切换至主屏内置PC副屏HDMI模式，实现主、副屏分别显示主屏内置PC画面和副屏外接HDMI通道画面，且主、副屏能正常触控操作，无需用户进行其它配置  </w:t>
            </w:r>
          </w:p>
          <w:p>
            <w:pPr>
              <w:spacing w:line="360" w:lineRule="auto"/>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2</w:t>
            </w:r>
            <w:r>
              <w:rPr>
                <w:rFonts w:hint="eastAsia" w:ascii="仿宋" w:hAnsi="仿宋" w:eastAsia="仿宋"/>
                <w:color w:val="000000"/>
                <w:sz w:val="24"/>
              </w:rPr>
              <w:t>、副屏作为书写白板使用时，可输出H</w:t>
            </w:r>
            <w:r>
              <w:rPr>
                <w:rFonts w:ascii="仿宋" w:hAnsi="仿宋" w:eastAsia="仿宋"/>
                <w:color w:val="000000"/>
                <w:sz w:val="24"/>
              </w:rPr>
              <w:t>DMI</w:t>
            </w:r>
            <w:r>
              <w:rPr>
                <w:rFonts w:hint="eastAsia" w:ascii="仿宋" w:hAnsi="仿宋" w:eastAsia="仿宋"/>
                <w:color w:val="000000"/>
                <w:sz w:val="24"/>
              </w:rPr>
              <w:t>信号，转换成S</w:t>
            </w:r>
            <w:r>
              <w:rPr>
                <w:rFonts w:ascii="仿宋" w:hAnsi="仿宋" w:eastAsia="仿宋"/>
                <w:color w:val="000000"/>
                <w:sz w:val="24"/>
              </w:rPr>
              <w:t>DI</w:t>
            </w:r>
            <w:r>
              <w:rPr>
                <w:rFonts w:hint="eastAsia" w:ascii="仿宋" w:hAnsi="仿宋" w:eastAsia="仿宋"/>
                <w:color w:val="000000"/>
                <w:sz w:val="24"/>
              </w:rPr>
              <w:t>信号后可接入录播系统。</w:t>
            </w:r>
          </w:p>
          <w:p>
            <w:pPr>
              <w:spacing w:line="360" w:lineRule="auto"/>
              <w:rPr>
                <w:rFonts w:ascii="仿宋" w:hAnsi="仿宋" w:eastAsia="仿宋"/>
                <w:color w:val="000000"/>
                <w:kern w:val="0"/>
                <w:sz w:val="24"/>
              </w:rPr>
            </w:pPr>
            <w:r>
              <w:rPr>
                <w:rFonts w:hint="eastAsia" w:ascii="仿宋" w:hAnsi="仿宋" w:eastAsia="仿宋"/>
                <w:color w:val="000000"/>
                <w:sz w:val="24"/>
              </w:rPr>
              <w:t xml:space="preserve">四、提供原厂授权及售后承诺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25" w:type="pct"/>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w:t>
            </w:r>
          </w:p>
        </w:tc>
        <w:tc>
          <w:tcPr>
            <w:tcW w:w="925" w:type="pct"/>
            <w:shd w:val="clear" w:color="auto" w:fill="auto"/>
            <w:vAlign w:val="center"/>
          </w:tcPr>
          <w:p>
            <w:pPr>
              <w:spacing w:line="360" w:lineRule="auto"/>
              <w:rPr>
                <w:rFonts w:ascii="仿宋" w:hAnsi="仿宋" w:eastAsia="仿宋"/>
                <w:color w:val="000000"/>
                <w:sz w:val="24"/>
              </w:rPr>
            </w:pPr>
            <w:r>
              <w:rPr>
                <w:rFonts w:hint="eastAsia" w:ascii="仿宋" w:hAnsi="仿宋" w:eastAsia="仿宋"/>
                <w:color w:val="000000"/>
                <w:sz w:val="24"/>
              </w:rPr>
              <w:t>全千兆POE交换机</w:t>
            </w:r>
          </w:p>
        </w:tc>
        <w:tc>
          <w:tcPr>
            <w:tcW w:w="3650" w:type="pct"/>
            <w:shd w:val="clear" w:color="auto" w:fill="auto"/>
            <w:vAlign w:val="center"/>
          </w:tcPr>
          <w:p>
            <w:pPr>
              <w:spacing w:line="360" w:lineRule="auto"/>
              <w:rPr>
                <w:rFonts w:ascii="仿宋" w:hAnsi="仿宋" w:eastAsia="仿宋"/>
                <w:color w:val="000000"/>
                <w:sz w:val="24"/>
              </w:rPr>
            </w:pPr>
            <w:r>
              <w:rPr>
                <w:rFonts w:hint="eastAsia" w:ascii="仿宋" w:hAnsi="仿宋" w:eastAsia="仿宋"/>
                <w:color w:val="000000"/>
                <w:sz w:val="24"/>
              </w:rPr>
              <w:t>1.固化10/100/1000M以太网电口≥16个，100/1000M SFP千兆光接口≥2个</w:t>
            </w:r>
          </w:p>
          <w:p>
            <w:pPr>
              <w:spacing w:line="360" w:lineRule="auto"/>
              <w:rPr>
                <w:rFonts w:ascii="仿宋" w:hAnsi="仿宋" w:eastAsia="仿宋"/>
                <w:color w:val="000000"/>
                <w:sz w:val="24"/>
              </w:rPr>
            </w:pPr>
            <w:r>
              <w:rPr>
                <w:rFonts w:hint="eastAsia" w:ascii="仿宋" w:hAnsi="仿宋" w:eastAsia="仿宋"/>
                <w:color w:val="000000"/>
                <w:sz w:val="24"/>
              </w:rPr>
              <w:t>2.交换容量≥256Gbps，包转发率≥42Mpps</w:t>
            </w:r>
          </w:p>
          <w:p>
            <w:pPr>
              <w:spacing w:line="360" w:lineRule="auto"/>
              <w:rPr>
                <w:rFonts w:ascii="仿宋" w:hAnsi="仿宋" w:eastAsia="仿宋"/>
                <w:color w:val="000000"/>
                <w:sz w:val="24"/>
              </w:rPr>
            </w:pPr>
            <w:r>
              <w:rPr>
                <w:rFonts w:hint="eastAsia" w:ascii="仿宋" w:hAnsi="仿宋" w:eastAsia="仿宋"/>
                <w:color w:val="000000"/>
                <w:sz w:val="24"/>
              </w:rPr>
              <w:t>3.要求所投产品支持POE和POE+远程供电，POE供电功率≥125W</w:t>
            </w:r>
          </w:p>
          <w:p>
            <w:pPr>
              <w:spacing w:line="360" w:lineRule="auto"/>
              <w:rPr>
                <w:rFonts w:ascii="仿宋" w:hAnsi="仿宋" w:eastAsia="仿宋"/>
                <w:color w:val="000000"/>
                <w:sz w:val="24"/>
              </w:rPr>
            </w:pPr>
            <w:r>
              <w:rPr>
                <w:rFonts w:hint="eastAsia" w:ascii="仿宋" w:hAnsi="仿宋" w:eastAsia="仿宋"/>
                <w:color w:val="000000"/>
                <w:sz w:val="24"/>
              </w:rPr>
              <w:t>4.为保证设备在受到外接机械碰撞时能够正常运行，要求所投交换机IK防护测试级别至少达到IK05，提供国家认可的检测机构出具的IK防护等级测试报告以及检测机构官网查询截图并加盖产品厂商公章</w:t>
            </w:r>
          </w:p>
          <w:p>
            <w:pPr>
              <w:spacing w:line="360" w:lineRule="auto"/>
              <w:rPr>
                <w:rFonts w:ascii="仿宋" w:hAnsi="仿宋" w:eastAsia="仿宋"/>
                <w:color w:val="000000"/>
                <w:sz w:val="24"/>
              </w:rPr>
            </w:pPr>
            <w:r>
              <w:rPr>
                <w:rFonts w:hint="eastAsia" w:ascii="仿宋" w:hAnsi="仿宋" w:eastAsia="仿宋"/>
                <w:color w:val="000000"/>
                <w:sz w:val="24"/>
              </w:rPr>
              <w:t>5.要求设备采用静音设计，噪声指标＜35dB</w:t>
            </w:r>
          </w:p>
          <w:p>
            <w:pPr>
              <w:spacing w:line="360" w:lineRule="auto"/>
              <w:rPr>
                <w:rFonts w:ascii="仿宋" w:hAnsi="仿宋" w:eastAsia="仿宋"/>
                <w:color w:val="000000"/>
                <w:sz w:val="24"/>
              </w:rPr>
            </w:pPr>
            <w:r>
              <w:rPr>
                <w:rFonts w:hint="eastAsia" w:ascii="仿宋" w:hAnsi="仿宋" w:eastAsia="仿宋"/>
                <w:color w:val="000000"/>
                <w:sz w:val="24"/>
              </w:rPr>
              <w:t>6.要求设备采用金属外壳和金属网口设计，提供官网截图。</w:t>
            </w:r>
          </w:p>
          <w:p>
            <w:pPr>
              <w:spacing w:line="360" w:lineRule="auto"/>
              <w:rPr>
                <w:rFonts w:ascii="仿宋" w:hAnsi="仿宋" w:eastAsia="仿宋"/>
                <w:color w:val="000000"/>
                <w:sz w:val="24"/>
              </w:rPr>
            </w:pPr>
            <w:r>
              <w:rPr>
                <w:rFonts w:hint="eastAsia" w:ascii="仿宋" w:hAnsi="仿宋" w:eastAsia="仿宋"/>
                <w:color w:val="000000"/>
                <w:sz w:val="24"/>
              </w:rPr>
              <w:t>7.支持端口浪涌抗扰度≥8KV（即具备8KV的防雷能力）</w:t>
            </w:r>
          </w:p>
          <w:p>
            <w:pPr>
              <w:spacing w:line="360" w:lineRule="auto"/>
              <w:rPr>
                <w:rFonts w:ascii="仿宋" w:hAnsi="仿宋" w:eastAsia="仿宋"/>
                <w:color w:val="000000"/>
                <w:sz w:val="24"/>
              </w:rPr>
            </w:pPr>
            <w:r>
              <w:rPr>
                <w:rFonts w:hint="eastAsia" w:ascii="仿宋" w:hAnsi="仿宋" w:eastAsia="仿宋"/>
                <w:color w:val="000000"/>
                <w:sz w:val="24"/>
              </w:rPr>
              <w:t>8.支持专门针对CPU的保护机制，能够针对发往CPU处理的各种报文进行流区分和优先级队列分级处理，保护交换机在各种环境下稳定工作</w:t>
            </w:r>
          </w:p>
          <w:p>
            <w:pPr>
              <w:spacing w:line="360" w:lineRule="auto"/>
              <w:rPr>
                <w:rFonts w:ascii="仿宋" w:hAnsi="仿宋" w:eastAsia="仿宋"/>
                <w:color w:val="000000"/>
                <w:sz w:val="24"/>
              </w:rPr>
            </w:pPr>
            <w:r>
              <w:rPr>
                <w:rFonts w:hint="eastAsia" w:ascii="仿宋" w:hAnsi="仿宋" w:eastAsia="仿宋"/>
                <w:color w:val="000000"/>
                <w:sz w:val="24"/>
              </w:rPr>
              <w:t>9.支持快速检测链路的通断和光纤链路的单向性，并支持端口下的环路检测功能，</w:t>
            </w:r>
          </w:p>
          <w:p>
            <w:pPr>
              <w:spacing w:line="360" w:lineRule="auto"/>
              <w:rPr>
                <w:rFonts w:ascii="仿宋" w:hAnsi="仿宋" w:eastAsia="仿宋"/>
                <w:color w:val="000000"/>
                <w:sz w:val="24"/>
              </w:rPr>
            </w:pPr>
            <w:r>
              <w:rPr>
                <w:rFonts w:hint="eastAsia" w:ascii="仿宋" w:hAnsi="仿宋" w:eastAsia="仿宋"/>
                <w:color w:val="000000"/>
                <w:sz w:val="24"/>
              </w:rPr>
              <w:t>10.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关键页复印件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25" w:type="pct"/>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3</w:t>
            </w:r>
          </w:p>
        </w:tc>
        <w:tc>
          <w:tcPr>
            <w:tcW w:w="925" w:type="pct"/>
            <w:shd w:val="clear" w:color="auto" w:fill="auto"/>
            <w:vAlign w:val="center"/>
          </w:tcPr>
          <w:p>
            <w:pPr>
              <w:spacing w:line="360" w:lineRule="auto"/>
              <w:rPr>
                <w:rFonts w:ascii="仿宋" w:hAnsi="仿宋" w:eastAsia="仿宋"/>
                <w:color w:val="000000"/>
                <w:sz w:val="24"/>
              </w:rPr>
            </w:pPr>
            <w:r>
              <w:rPr>
                <w:rFonts w:hint="eastAsia" w:ascii="仿宋" w:hAnsi="仿宋" w:eastAsia="仿宋"/>
                <w:color w:val="000000"/>
                <w:sz w:val="24"/>
              </w:rPr>
              <w:t>门禁主机套装</w:t>
            </w:r>
          </w:p>
        </w:tc>
        <w:tc>
          <w:tcPr>
            <w:tcW w:w="3650" w:type="pct"/>
            <w:shd w:val="clear" w:color="auto" w:fill="auto"/>
            <w:vAlign w:val="center"/>
          </w:tcPr>
          <w:p>
            <w:pPr>
              <w:spacing w:line="360" w:lineRule="auto"/>
              <w:rPr>
                <w:rFonts w:ascii="仿宋" w:hAnsi="仿宋" w:eastAsia="仿宋"/>
                <w:color w:val="000000"/>
                <w:sz w:val="24"/>
              </w:rPr>
            </w:pPr>
            <w:r>
              <w:rPr>
                <w:rFonts w:hint="eastAsia" w:ascii="仿宋" w:hAnsi="仿宋" w:eastAsia="仿宋"/>
                <w:color w:val="000000"/>
                <w:sz w:val="24"/>
              </w:rPr>
              <w:t>支持人脸、指纹、密码等多种认证方式；200万双目镜头，最多支持1000张人脸和3000张卡数据容量；承受280kg拉力负荷单门磁力锁及86型出门按钮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25" w:type="pct"/>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4</w:t>
            </w:r>
          </w:p>
        </w:tc>
        <w:tc>
          <w:tcPr>
            <w:tcW w:w="925" w:type="pct"/>
            <w:shd w:val="clear" w:color="auto" w:fill="auto"/>
            <w:vAlign w:val="center"/>
          </w:tcPr>
          <w:p>
            <w:pPr>
              <w:spacing w:line="360" w:lineRule="auto"/>
              <w:rPr>
                <w:rFonts w:ascii="仿宋" w:hAnsi="仿宋" w:eastAsia="仿宋"/>
                <w:color w:val="000000"/>
                <w:sz w:val="24"/>
              </w:rPr>
            </w:pPr>
            <w:r>
              <w:rPr>
                <w:rFonts w:hint="eastAsia" w:ascii="仿宋" w:hAnsi="仿宋" w:eastAsia="仿宋"/>
                <w:color w:val="000000"/>
                <w:sz w:val="24"/>
              </w:rPr>
              <w:t>移动升降式讲台</w:t>
            </w:r>
          </w:p>
        </w:tc>
        <w:tc>
          <w:tcPr>
            <w:tcW w:w="3650" w:type="pct"/>
            <w:shd w:val="clear" w:color="auto" w:fill="auto"/>
            <w:vAlign w:val="center"/>
          </w:tcPr>
          <w:p>
            <w:pPr>
              <w:spacing w:line="360" w:lineRule="auto"/>
              <w:rPr>
                <w:rFonts w:ascii="仿宋" w:hAnsi="仿宋" w:eastAsia="仿宋"/>
                <w:color w:val="000000"/>
                <w:sz w:val="24"/>
              </w:rPr>
            </w:pPr>
            <w:r>
              <w:rPr>
                <w:rFonts w:hint="eastAsia" w:ascii="仿宋" w:hAnsi="仿宋" w:eastAsia="仿宋"/>
                <w:color w:val="000000"/>
                <w:sz w:val="24"/>
              </w:rPr>
              <w:t>桌面材质：MDF板+PVC吸塑   架体材质：加厚铝合金方形立柱+铝压铸一体成型底座   产品尺寸：长71.5*宽47.5*高74~116cm   产品颜色：白色/枫木色白架体  黑色/胡桃色黑架体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25" w:type="pct"/>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5</w:t>
            </w:r>
          </w:p>
        </w:tc>
        <w:tc>
          <w:tcPr>
            <w:tcW w:w="925" w:type="pct"/>
            <w:shd w:val="clear" w:color="auto" w:fill="auto"/>
            <w:vAlign w:val="center"/>
          </w:tcPr>
          <w:p>
            <w:pPr>
              <w:spacing w:line="360" w:lineRule="auto"/>
              <w:rPr>
                <w:rFonts w:ascii="仿宋" w:hAnsi="仿宋" w:eastAsia="仿宋"/>
                <w:sz w:val="24"/>
              </w:rPr>
            </w:pPr>
            <w:r>
              <w:rPr>
                <w:rFonts w:hint="eastAsia" w:ascii="仿宋" w:hAnsi="仿宋" w:eastAsia="仿宋"/>
                <w:sz w:val="24"/>
              </w:rPr>
              <w:t>强弱电材料及改造费用</w:t>
            </w:r>
          </w:p>
        </w:tc>
        <w:tc>
          <w:tcPr>
            <w:tcW w:w="3650" w:type="pct"/>
            <w:shd w:val="clear" w:color="auto" w:fill="auto"/>
            <w:vAlign w:val="center"/>
          </w:tcPr>
          <w:p>
            <w:pPr>
              <w:spacing w:line="360" w:lineRule="auto"/>
              <w:rPr>
                <w:rFonts w:ascii="仿宋" w:hAnsi="仿宋" w:eastAsia="仿宋"/>
                <w:color w:val="000000"/>
                <w:sz w:val="24"/>
              </w:rPr>
            </w:pPr>
            <w:r>
              <w:rPr>
                <w:rFonts w:hint="eastAsia" w:ascii="仿宋" w:hAnsi="仿宋" w:eastAsia="仿宋"/>
                <w:color w:val="000000"/>
                <w:sz w:val="24"/>
              </w:rPr>
              <w:t xml:space="preserve">该录播教室后墙面修补粉刷、顶面损坏灯具的更换同时增加部分照明灯具、更换部分地面静电地板；墙面和地面增加强电插座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25" w:type="pct"/>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6</w:t>
            </w:r>
          </w:p>
        </w:tc>
        <w:tc>
          <w:tcPr>
            <w:tcW w:w="925" w:type="pct"/>
            <w:shd w:val="clear" w:color="auto" w:fill="auto"/>
            <w:vAlign w:val="center"/>
          </w:tcPr>
          <w:p>
            <w:pPr>
              <w:spacing w:line="360" w:lineRule="auto"/>
              <w:rPr>
                <w:rFonts w:ascii="仿宋" w:hAnsi="仿宋" w:eastAsia="仿宋"/>
                <w:sz w:val="24"/>
              </w:rPr>
            </w:pPr>
            <w:r>
              <w:rPr>
                <w:rFonts w:hint="eastAsia" w:ascii="仿宋" w:hAnsi="仿宋" w:eastAsia="仿宋"/>
                <w:sz w:val="24"/>
              </w:rPr>
              <w:t>加厚窗帘布</w:t>
            </w:r>
          </w:p>
        </w:tc>
        <w:tc>
          <w:tcPr>
            <w:tcW w:w="3650" w:type="pct"/>
            <w:shd w:val="clear" w:color="auto" w:fill="auto"/>
            <w:vAlign w:val="center"/>
          </w:tcPr>
          <w:p>
            <w:pPr>
              <w:spacing w:line="360" w:lineRule="auto"/>
              <w:rPr>
                <w:rFonts w:ascii="仿宋" w:hAnsi="仿宋" w:eastAsia="仿宋"/>
                <w:color w:val="0D0D0D"/>
                <w:sz w:val="24"/>
              </w:rPr>
            </w:pPr>
            <w:r>
              <w:rPr>
                <w:rFonts w:hint="eastAsia" w:ascii="仿宋" w:hAnsi="仿宋" w:eastAsia="仿宋"/>
                <w:color w:val="0D0D0D"/>
                <w:sz w:val="24"/>
              </w:rPr>
              <w:t>原窗帘更换成加厚加绒双层窗帘、3.5米高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25" w:type="pct"/>
            <w:shd w:val="clear" w:color="auto" w:fill="auto"/>
            <w:noWrap/>
            <w:vAlign w:val="center"/>
          </w:tcPr>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7</w:t>
            </w:r>
          </w:p>
        </w:tc>
        <w:tc>
          <w:tcPr>
            <w:tcW w:w="925" w:type="pct"/>
            <w:shd w:val="clear" w:color="auto" w:fill="auto"/>
            <w:vAlign w:val="center"/>
          </w:tcPr>
          <w:p>
            <w:pPr>
              <w:spacing w:line="360" w:lineRule="auto"/>
              <w:rPr>
                <w:rFonts w:ascii="仿宋" w:hAnsi="仿宋" w:eastAsia="仿宋"/>
                <w:color w:val="000000"/>
                <w:sz w:val="24"/>
              </w:rPr>
            </w:pPr>
            <w:r>
              <w:rPr>
                <w:rFonts w:hint="eastAsia" w:ascii="仿宋" w:hAnsi="仿宋" w:eastAsia="仿宋"/>
                <w:color w:val="000000"/>
                <w:sz w:val="24"/>
              </w:rPr>
              <w:t>系统集成</w:t>
            </w:r>
          </w:p>
        </w:tc>
        <w:tc>
          <w:tcPr>
            <w:tcW w:w="3650" w:type="pct"/>
            <w:shd w:val="clear" w:color="auto" w:fill="auto"/>
            <w:vAlign w:val="center"/>
          </w:tcPr>
          <w:p>
            <w:pPr>
              <w:spacing w:line="360" w:lineRule="auto"/>
              <w:rPr>
                <w:rFonts w:ascii="仿宋" w:hAnsi="仿宋" w:eastAsia="仿宋"/>
                <w:color w:val="000000"/>
                <w:sz w:val="24"/>
              </w:rPr>
            </w:pPr>
            <w:r>
              <w:rPr>
                <w:rFonts w:hint="eastAsia" w:ascii="仿宋" w:hAnsi="仿宋" w:eastAsia="仿宋"/>
                <w:color w:val="000000"/>
                <w:sz w:val="24"/>
              </w:rPr>
              <w:t>该录播教室所有录播系统设备的弱电综合布线、设备安装及调试（包括原中广上洋录播设备安装调试）</w:t>
            </w:r>
          </w:p>
          <w:p>
            <w:pPr>
              <w:spacing w:line="360" w:lineRule="auto"/>
              <w:rPr>
                <w:rFonts w:ascii="仿宋" w:hAnsi="仿宋" w:eastAsia="仿宋"/>
                <w:color w:val="000000"/>
                <w:sz w:val="24"/>
              </w:rPr>
            </w:pPr>
          </w:p>
        </w:tc>
      </w:tr>
    </w:tbl>
    <w:p>
      <w:pPr>
        <w:spacing w:line="360" w:lineRule="auto"/>
        <w:ind w:firstLine="480" w:firstLineChars="200"/>
        <w:rPr>
          <w:rFonts w:ascii="仿宋" w:hAnsi="仿宋" w:eastAsia="仿宋"/>
          <w:sz w:val="24"/>
        </w:rPr>
      </w:pPr>
    </w:p>
    <w:p>
      <w:pPr>
        <w:widowControl/>
        <w:jc w:val="left"/>
        <w:rPr>
          <w:rFonts w:ascii="仿宋" w:hAnsi="仿宋" w:eastAsia="仿宋"/>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DZmODhmNzdlOWQwOGY2NDExMTM3YTViMTc3ZDYifQ=="/>
  </w:docVars>
  <w:rsids>
    <w:rsidRoot w:val="72F21661"/>
    <w:rsid w:val="72F21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2022-10-18T08:21:00Z</dcterms:created>
  <dc:creator>Vivian</dc:creator>
  <cp:lastModifiedBy>Vivian</cp:lastModifiedBy>
  <dcterms:modified xsi:type="dcterms:W3CDTF">2022-10-18T08:21:45Z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97B1B952ED5342E6A52BA7D0283AB70D</vt:lpwstr>
  </property>
</Properties>
</file>