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46" w:rsidRPr="00916B46" w:rsidRDefault="00916B46" w:rsidP="00916B46">
      <w:pPr>
        <w:widowControl/>
        <w:adjustRightInd w:val="0"/>
        <w:snapToGrid w:val="0"/>
        <w:spacing w:after="200"/>
        <w:jc w:val="left"/>
        <w:rPr>
          <w:rFonts w:ascii="仿宋" w:eastAsia="仿宋" w:hAnsi="仿宋" w:cs="黑体"/>
          <w:b/>
          <w:kern w:val="0"/>
          <w:sz w:val="24"/>
          <w:szCs w:val="24"/>
        </w:rPr>
      </w:pPr>
      <w:r w:rsidRPr="00916B46">
        <w:rPr>
          <w:rFonts w:ascii="仿宋" w:eastAsia="仿宋" w:hAnsi="仿宋" w:cs="黑体" w:hint="eastAsia"/>
          <w:b/>
          <w:kern w:val="0"/>
          <w:sz w:val="24"/>
          <w:szCs w:val="24"/>
        </w:rPr>
        <w:t>附件</w:t>
      </w:r>
      <w:r>
        <w:rPr>
          <w:rFonts w:ascii="仿宋" w:eastAsia="仿宋" w:hAnsi="仿宋" w:cs="黑体" w:hint="eastAsia"/>
          <w:b/>
          <w:kern w:val="0"/>
          <w:sz w:val="24"/>
          <w:szCs w:val="24"/>
        </w:rPr>
        <w:t>2</w:t>
      </w:r>
    </w:p>
    <w:p w:rsidR="00F6129B" w:rsidRDefault="00916B46" w:rsidP="00916B46">
      <w:pPr>
        <w:jc w:val="center"/>
        <w:rPr>
          <w:rFonts w:ascii="黑体" w:eastAsia="黑体" w:hAnsi="黑体" w:cs="黑体"/>
          <w:bCs/>
          <w:kern w:val="0"/>
          <w:sz w:val="32"/>
          <w:szCs w:val="32"/>
        </w:rPr>
      </w:pPr>
      <w:r w:rsidRPr="00916B46">
        <w:rPr>
          <w:rFonts w:ascii="黑体" w:eastAsia="黑体" w:hAnsi="黑体" w:cs="黑体" w:hint="eastAsia"/>
          <w:bCs/>
          <w:kern w:val="0"/>
          <w:sz w:val="32"/>
          <w:szCs w:val="32"/>
        </w:rPr>
        <w:t>常州大学</w:t>
      </w:r>
      <w:r w:rsidRPr="00916B46">
        <w:rPr>
          <w:rFonts w:ascii="黑体" w:eastAsia="黑体" w:hAnsi="黑体" w:cs="黑体"/>
          <w:bCs/>
          <w:kern w:val="0"/>
          <w:sz w:val="32"/>
          <w:szCs w:val="32"/>
        </w:rPr>
        <w:t>2024-2025学年本科教学质量报告</w:t>
      </w:r>
      <w:r w:rsidRPr="00916B46">
        <w:rPr>
          <w:rFonts w:ascii="黑体" w:eastAsia="黑体" w:hAnsi="黑体" w:cs="黑体" w:hint="eastAsia"/>
          <w:bCs/>
          <w:kern w:val="0"/>
          <w:sz w:val="32"/>
          <w:szCs w:val="32"/>
        </w:rPr>
        <w:t>支撑数据</w:t>
      </w:r>
      <w:r w:rsidRPr="00916B46">
        <w:rPr>
          <w:rFonts w:ascii="黑体" w:eastAsia="黑体" w:hAnsi="黑体" w:cs="黑体"/>
          <w:bCs/>
          <w:kern w:val="0"/>
          <w:sz w:val="32"/>
          <w:szCs w:val="32"/>
        </w:rPr>
        <w:t>（</w:t>
      </w:r>
      <w:r w:rsidRPr="00916B46">
        <w:rPr>
          <w:rFonts w:ascii="黑体" w:eastAsia="黑体" w:hAnsi="黑体" w:cs="黑体" w:hint="eastAsia"/>
          <w:bCs/>
          <w:kern w:val="0"/>
          <w:sz w:val="28"/>
          <w:szCs w:val="28"/>
        </w:rPr>
        <w:t>分部门</w:t>
      </w:r>
      <w:r w:rsidRPr="00916B46">
        <w:rPr>
          <w:rFonts w:ascii="黑体" w:eastAsia="黑体" w:hAnsi="黑体" w:cs="黑体"/>
          <w:bCs/>
          <w:kern w:val="0"/>
          <w:sz w:val="32"/>
          <w:szCs w:val="32"/>
        </w:rPr>
        <w:t>）</w:t>
      </w:r>
    </w:p>
    <w:tbl>
      <w:tblPr>
        <w:tblW w:w="101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5420"/>
        <w:gridCol w:w="2835"/>
      </w:tblGrid>
      <w:tr w:rsidR="00916B46" w:rsidRPr="008B71E4" w:rsidTr="006D67D4">
        <w:trPr>
          <w:trHeight w:hRule="exact" w:val="340"/>
          <w:tblHeader/>
          <w:jc w:val="center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b/>
                <w:sz w:val="18"/>
                <w:szCs w:val="18"/>
              </w:rPr>
              <w:t>数据项目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b/>
                <w:sz w:val="18"/>
                <w:szCs w:val="18"/>
              </w:rPr>
              <w:t>提供部门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1.本科生占全日制在校生总数的比例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发规处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.教师数量及结构（全校及分专业）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发规处、人事处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19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3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.专业设置情况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全校本科专业总数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当年本科招生专业总数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当年新增专业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停招专业名单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4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.生师比（全校及分专业）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人事处、发规处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5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.生均教学科研仪器设备值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实验室管理处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6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.当年新增教学科研仪器设备值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实验室管理处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7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.生均图书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图书馆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8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.电子图书、电子期刊种数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图书馆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9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.生均教学行政用房（其中生均实验室面积）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国资处</w:t>
            </w:r>
            <w:r w:rsidR="0058205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8205C" w:rsidRPr="00396462">
              <w:rPr>
                <w:rFonts w:ascii="宋体" w:eastAsia="宋体" w:hAnsi="宋体" w:hint="eastAsia"/>
                <w:sz w:val="18"/>
                <w:szCs w:val="18"/>
              </w:rPr>
              <w:t>实验室管理处</w:t>
            </w:r>
            <w:bookmarkStart w:id="0" w:name="_GoBack"/>
            <w:bookmarkEnd w:id="0"/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0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.生均本科教学日常运行支出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财务处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.本科专项教学经费（自然年内学校立项用于本科教学改革和建设的专项经费总额）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财务处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.生均本科实验经费（自然年内学校用于实验教学运行、维护经费生均值）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财务处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13.生均本科实习经费（自然年内学校用于本科培养方案内的实习环节支出经费生均值）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财务处</w:t>
            </w:r>
          </w:p>
        </w:tc>
      </w:tr>
      <w:tr w:rsidR="00916B46" w:rsidRPr="008B71E4" w:rsidTr="006D67D4">
        <w:trPr>
          <w:trHeight w:hRule="exact" w:val="737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4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.全校开设课程总门数（学年内实际开设的本科培养计划内课程总数，跨学期讲授的同一门课程计1门）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5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.实践教学学分占总学分比例（按学科门类、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专业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16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.选修课学分占总学分比例（按学科门类、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专业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17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.主讲本科课程的教授占教授总数的比例（不含讲座，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全校及分专业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737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18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.教授讲授本科课程占课程总门次数的比例（一门课程的全部课时均由教授授课，计为1；由多名教师共同承担的，按教授实际承担学时比例计算，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全校及分专业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19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.实践教学及实习实训基地（分专业）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0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.应届本科生毕业率（全校及分专业）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1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.应届本科生学位授予率（全校及分专业）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.应届本科生初次就业率（全校及分专业）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学工处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3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.体质测试达标率（全校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及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分专业提供优秀、良好、合格率）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体育学院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4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.学生学习满意度（调查方法与结果）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学工处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5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.用人单位对毕业生满意度（调查方法与结果）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学工处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/>
                <w:sz w:val="18"/>
                <w:szCs w:val="18"/>
              </w:rPr>
              <w:t>26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.其它与本科教学质量相关数据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  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补充：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  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1.重大体育赛事、文艺展演等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团委、体育学院、音乐学院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2.毕业生薪酬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学工处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3.考研出国率</w:t>
            </w:r>
            <w:r w:rsidRPr="00396462">
              <w:rPr>
                <w:rFonts w:ascii="宋体" w:eastAsia="宋体" w:hAnsi="宋体"/>
                <w:sz w:val="18"/>
                <w:szCs w:val="18"/>
              </w:rPr>
              <w:t>及</w:t>
            </w:r>
            <w:r w:rsidRPr="00396462">
              <w:rPr>
                <w:rFonts w:ascii="宋体" w:eastAsia="宋体" w:hAnsi="宋体" w:hint="eastAsia"/>
                <w:sz w:val="18"/>
                <w:szCs w:val="18"/>
              </w:rPr>
              <w:t>就业创业情况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学工处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4.学科建设、科研获奖等重大进展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学科办、科技处、人文社科处</w:t>
            </w:r>
          </w:p>
        </w:tc>
      </w:tr>
      <w:tr w:rsidR="00916B46" w:rsidRPr="008B71E4" w:rsidTr="006D67D4">
        <w:trPr>
          <w:trHeight w:hRule="exact" w:val="737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1" w:name="RANGE!A40"/>
            <w:r w:rsidRPr="00396462"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bookmarkEnd w:id="1"/>
            <w:r w:rsidRPr="00396462">
              <w:rPr>
                <w:rFonts w:ascii="宋体" w:eastAsia="宋体" w:hAnsi="宋体" w:hint="eastAsia"/>
                <w:sz w:val="18"/>
                <w:szCs w:val="18"/>
              </w:rPr>
              <w:t>人才培养模式改革案例与成效，专业建设的具体措施、案例，课程建设情况及案例。教材、优质课程等教学保障情况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233A6E" w:rsidRDefault="00916B46" w:rsidP="006D67D4">
            <w:pPr>
              <w:wordWrap w:val="0"/>
              <w:jc w:val="center"/>
            </w:pPr>
            <w:r w:rsidRPr="00233A6E">
              <w:rPr>
                <w:rFonts w:ascii="宋体" w:eastAsia="宋体" w:hAnsi="宋体" w:hint="eastAsia"/>
                <w:sz w:val="18"/>
                <w:szCs w:val="18"/>
              </w:rPr>
              <w:t>教务处、相关学院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6.本科生源质量及保证生源质量的措施等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学工处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7.提高师资水平的具体做法及案例等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人事处、教务处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8.课堂教学规模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9.学生创新创业教育措施及成效、重大获奖情况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教务处、学工处、团委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10.实践教学平台建设（国家级及省级）、毕业论文（设计）获奖情况、实践教学改革等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相关学院、教务处</w:t>
            </w:r>
          </w:p>
        </w:tc>
      </w:tr>
      <w:tr w:rsidR="00916B46" w:rsidRPr="008B71E4" w:rsidTr="006D67D4">
        <w:trPr>
          <w:trHeight w:hRule="exact" w:val="737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11.教学质量保障体系建设、日常监测及运行情况、校内专业评估等，审核评估整改工作，国家数据库填报工作等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spacing w:line="432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质评中心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12.反映学校国际化水平的数据及学校提高国际化水平的具体做法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国际处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13.学生校园文化活动及获奖情况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团委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14.学校质量文化建设相关素材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质评中心、教务处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15.教育信息资源情况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信息化处、教务处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16.学科建设情况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学科办</w:t>
            </w:r>
          </w:p>
        </w:tc>
      </w:tr>
      <w:tr w:rsidR="00916B46" w:rsidRPr="008B71E4" w:rsidTr="006D67D4">
        <w:trPr>
          <w:trHeight w:hRule="exact" w:val="340"/>
          <w:jc w:val="center"/>
        </w:trPr>
        <w:tc>
          <w:tcPr>
            <w:tcW w:w="73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17.学校产学研合作情况（含文科平台）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6B46" w:rsidRPr="00396462" w:rsidRDefault="00916B46" w:rsidP="006D67D4">
            <w:pPr>
              <w:wordWrap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6462">
              <w:rPr>
                <w:rFonts w:ascii="宋体" w:eastAsia="宋体" w:hAnsi="宋体" w:hint="eastAsia"/>
                <w:sz w:val="18"/>
                <w:szCs w:val="18"/>
              </w:rPr>
              <w:t>产学研处、社科处</w:t>
            </w:r>
          </w:p>
        </w:tc>
      </w:tr>
    </w:tbl>
    <w:p w:rsidR="00916B46" w:rsidRPr="00916B46" w:rsidRDefault="00916B46" w:rsidP="00916B46">
      <w:pPr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</w:p>
    <w:sectPr w:rsidR="00916B46" w:rsidRPr="00916B46" w:rsidSect="00916B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3A" w:rsidRDefault="00BE393A" w:rsidP="00916B46">
      <w:r>
        <w:separator/>
      </w:r>
    </w:p>
  </w:endnote>
  <w:endnote w:type="continuationSeparator" w:id="0">
    <w:p w:rsidR="00BE393A" w:rsidRDefault="00BE393A" w:rsidP="0091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3A" w:rsidRDefault="00BE393A" w:rsidP="00916B46">
      <w:r>
        <w:separator/>
      </w:r>
    </w:p>
  </w:footnote>
  <w:footnote w:type="continuationSeparator" w:id="0">
    <w:p w:rsidR="00BE393A" w:rsidRDefault="00BE393A" w:rsidP="0091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C4"/>
    <w:rsid w:val="001F1515"/>
    <w:rsid w:val="005328C0"/>
    <w:rsid w:val="0058205C"/>
    <w:rsid w:val="006C72C4"/>
    <w:rsid w:val="00916B46"/>
    <w:rsid w:val="00B6338A"/>
    <w:rsid w:val="00B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08C31"/>
  <w15:chartTrackingRefBased/>
  <w15:docId w15:val="{D37A2058-CC35-4224-8DFD-80FA7A04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2025-10-31T02:39:00Z</dcterms:created>
  <dcterms:modified xsi:type="dcterms:W3CDTF">2025-10-31T08:12:00Z</dcterms:modified>
</cp:coreProperties>
</file>