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69C" w:rsidRDefault="00D42AEC">
      <w:pPr>
        <w:adjustRightInd/>
        <w:snapToGrid/>
        <w:spacing w:after="0"/>
        <w:rPr>
          <w:rFonts w:asciiTheme="minorEastAsia" w:eastAsiaTheme="minorEastAsia" w:hAnsiTheme="minorEastAsia"/>
          <w:b/>
          <w:sz w:val="24"/>
          <w:szCs w:val="24"/>
        </w:rPr>
      </w:pPr>
      <w:r>
        <w:rPr>
          <w:rFonts w:asciiTheme="minorEastAsia" w:eastAsiaTheme="minorEastAsia" w:hAnsiTheme="minorEastAsia" w:hint="eastAsia"/>
          <w:b/>
          <w:sz w:val="24"/>
          <w:szCs w:val="24"/>
        </w:rPr>
        <w:t>附件</w:t>
      </w:r>
      <w:r>
        <w:rPr>
          <w:rFonts w:asciiTheme="minorEastAsia" w:eastAsiaTheme="minorEastAsia" w:hAnsiTheme="minorEastAsia"/>
          <w:b/>
          <w:sz w:val="24"/>
          <w:szCs w:val="24"/>
        </w:rPr>
        <w:t>3</w:t>
      </w:r>
    </w:p>
    <w:p w:rsidR="00C2069C" w:rsidRDefault="00D42AEC">
      <w:pPr>
        <w:spacing w:after="0"/>
        <w:jc w:val="center"/>
        <w:rPr>
          <w:rFonts w:ascii="黑体" w:eastAsia="黑体" w:hAnsi="黑体" w:cs="黑体"/>
          <w:b/>
          <w:sz w:val="24"/>
          <w:szCs w:val="24"/>
        </w:rPr>
      </w:pPr>
      <w:r>
        <w:rPr>
          <w:rFonts w:ascii="黑体" w:eastAsia="黑体" w:hAnsi="黑体" w:cs="黑体" w:hint="eastAsia"/>
          <w:b/>
          <w:sz w:val="24"/>
          <w:szCs w:val="24"/>
        </w:rPr>
        <w:t>常州大学本科课程评估指标体系</w:t>
      </w:r>
    </w:p>
    <w:tbl>
      <w:tblPr>
        <w:tblpPr w:leftFromText="180" w:rightFromText="180" w:vertAnchor="text" w:horzAnchor="margin" w:tblpY="166"/>
        <w:tblW w:w="5000" w:type="pct"/>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410"/>
        <w:gridCol w:w="5811"/>
        <w:gridCol w:w="4455"/>
      </w:tblGrid>
      <w:tr w:rsidR="00C2069C">
        <w:trPr>
          <w:cantSplit/>
          <w:trHeight w:val="270"/>
        </w:trPr>
        <w:tc>
          <w:tcPr>
            <w:tcW w:w="456" w:type="pct"/>
            <w:vMerge w:val="restart"/>
            <w:vAlign w:val="center"/>
          </w:tcPr>
          <w:p w:rsidR="00C2069C" w:rsidRDefault="00D42AEC">
            <w:pPr>
              <w:spacing w:after="0"/>
              <w:jc w:val="center"/>
              <w:rPr>
                <w:rFonts w:ascii="Times New Roman" w:eastAsia="仿宋" w:hAnsi="Times New Roman" w:cs="Times New Roman"/>
                <w:b/>
                <w:sz w:val="21"/>
                <w:szCs w:val="21"/>
              </w:rPr>
            </w:pPr>
            <w:r>
              <w:rPr>
                <w:rFonts w:ascii="Times New Roman" w:eastAsia="仿宋" w:hAnsi="Times New Roman" w:cs="Times New Roman"/>
                <w:b/>
                <w:sz w:val="21"/>
                <w:szCs w:val="21"/>
              </w:rPr>
              <w:t>一级指标</w:t>
            </w:r>
          </w:p>
        </w:tc>
        <w:tc>
          <w:tcPr>
            <w:tcW w:w="864" w:type="pct"/>
            <w:vMerge w:val="restart"/>
            <w:vAlign w:val="center"/>
          </w:tcPr>
          <w:p w:rsidR="00C2069C" w:rsidRDefault="00D42AEC">
            <w:pPr>
              <w:spacing w:after="0"/>
              <w:jc w:val="center"/>
              <w:rPr>
                <w:rFonts w:ascii="Times New Roman" w:eastAsia="仿宋" w:hAnsi="Times New Roman" w:cs="Times New Roman"/>
                <w:b/>
                <w:sz w:val="21"/>
                <w:szCs w:val="21"/>
              </w:rPr>
            </w:pPr>
            <w:r>
              <w:rPr>
                <w:rFonts w:ascii="Times New Roman" w:eastAsia="仿宋" w:hAnsi="Times New Roman" w:cs="Times New Roman" w:hint="eastAsia"/>
                <w:b/>
                <w:sz w:val="21"/>
                <w:szCs w:val="21"/>
              </w:rPr>
              <w:t>二级指标</w:t>
            </w:r>
          </w:p>
        </w:tc>
        <w:tc>
          <w:tcPr>
            <w:tcW w:w="3680" w:type="pct"/>
            <w:gridSpan w:val="2"/>
            <w:vAlign w:val="center"/>
          </w:tcPr>
          <w:p w:rsidR="00C2069C" w:rsidRDefault="00D42AEC">
            <w:pPr>
              <w:spacing w:after="0"/>
              <w:jc w:val="center"/>
              <w:rPr>
                <w:rFonts w:ascii="Times New Roman" w:eastAsia="仿宋" w:hAnsi="Times New Roman" w:cs="Times New Roman"/>
                <w:b/>
                <w:sz w:val="21"/>
                <w:szCs w:val="21"/>
              </w:rPr>
            </w:pPr>
            <w:r>
              <w:rPr>
                <w:rFonts w:ascii="Times New Roman" w:eastAsia="仿宋" w:hAnsi="Times New Roman" w:cs="Times New Roman" w:hint="eastAsia"/>
                <w:b/>
                <w:sz w:val="21"/>
                <w:szCs w:val="21"/>
              </w:rPr>
              <w:t>评分标准</w:t>
            </w:r>
          </w:p>
        </w:tc>
      </w:tr>
      <w:tr w:rsidR="00C2069C" w:rsidTr="0006467B">
        <w:trPr>
          <w:cantSplit/>
          <w:trHeight w:val="270"/>
        </w:trPr>
        <w:tc>
          <w:tcPr>
            <w:tcW w:w="456" w:type="pct"/>
            <w:vMerge/>
            <w:vAlign w:val="center"/>
          </w:tcPr>
          <w:p w:rsidR="00C2069C" w:rsidRDefault="00C2069C">
            <w:pPr>
              <w:spacing w:after="0"/>
              <w:jc w:val="center"/>
              <w:rPr>
                <w:rFonts w:ascii="Times New Roman" w:eastAsia="仿宋" w:hAnsi="Times New Roman" w:cs="Times New Roman"/>
                <w:b/>
                <w:sz w:val="21"/>
                <w:szCs w:val="21"/>
              </w:rPr>
            </w:pPr>
          </w:p>
        </w:tc>
        <w:tc>
          <w:tcPr>
            <w:tcW w:w="864" w:type="pct"/>
            <w:vMerge/>
            <w:vAlign w:val="center"/>
          </w:tcPr>
          <w:p w:rsidR="00C2069C" w:rsidRDefault="00C2069C">
            <w:pPr>
              <w:spacing w:after="0"/>
              <w:jc w:val="center"/>
              <w:rPr>
                <w:rFonts w:ascii="Times New Roman" w:eastAsia="仿宋" w:hAnsi="Times New Roman" w:cs="Times New Roman"/>
                <w:b/>
                <w:sz w:val="21"/>
                <w:szCs w:val="21"/>
              </w:rPr>
            </w:pPr>
          </w:p>
        </w:tc>
        <w:tc>
          <w:tcPr>
            <w:tcW w:w="2083" w:type="pct"/>
            <w:vAlign w:val="center"/>
          </w:tcPr>
          <w:p w:rsidR="00C2069C" w:rsidRDefault="00D42AEC">
            <w:pPr>
              <w:spacing w:after="0"/>
              <w:jc w:val="center"/>
              <w:rPr>
                <w:rFonts w:ascii="Times New Roman" w:eastAsia="仿宋" w:hAnsi="Times New Roman" w:cs="Times New Roman"/>
                <w:b/>
                <w:sz w:val="21"/>
                <w:szCs w:val="21"/>
              </w:rPr>
            </w:pPr>
            <w:r>
              <w:rPr>
                <w:rFonts w:ascii="Times New Roman" w:eastAsia="仿宋" w:hAnsi="Times New Roman" w:cs="Times New Roman" w:hint="eastAsia"/>
                <w:b/>
                <w:sz w:val="21"/>
                <w:szCs w:val="21"/>
              </w:rPr>
              <w:t>A</w:t>
            </w:r>
          </w:p>
        </w:tc>
        <w:tc>
          <w:tcPr>
            <w:tcW w:w="1597" w:type="pct"/>
          </w:tcPr>
          <w:p w:rsidR="00C2069C" w:rsidRDefault="00D42AEC">
            <w:pPr>
              <w:spacing w:after="0"/>
              <w:jc w:val="center"/>
              <w:rPr>
                <w:rFonts w:ascii="Times New Roman" w:eastAsia="仿宋" w:hAnsi="Times New Roman" w:cs="Times New Roman"/>
                <w:b/>
                <w:sz w:val="21"/>
                <w:szCs w:val="21"/>
              </w:rPr>
            </w:pPr>
            <w:r>
              <w:rPr>
                <w:rFonts w:ascii="Times New Roman" w:eastAsia="仿宋" w:hAnsi="Times New Roman" w:cs="Times New Roman" w:hint="eastAsia"/>
                <w:b/>
                <w:sz w:val="21"/>
                <w:szCs w:val="21"/>
              </w:rPr>
              <w:t>C</w:t>
            </w:r>
          </w:p>
        </w:tc>
      </w:tr>
      <w:tr w:rsidR="00C2069C" w:rsidTr="0006467B">
        <w:trPr>
          <w:cantSplit/>
          <w:trHeight w:val="687"/>
        </w:trPr>
        <w:tc>
          <w:tcPr>
            <w:tcW w:w="456" w:type="pct"/>
            <w:vMerge w:val="restart"/>
            <w:vAlign w:val="center"/>
          </w:tcPr>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sz w:val="21"/>
                <w:szCs w:val="21"/>
              </w:rPr>
              <w:t>1.课程目标与内容</w:t>
            </w:r>
          </w:p>
          <w:p w:rsidR="00C2069C" w:rsidRPr="00927E7B" w:rsidRDefault="00C2069C">
            <w:pPr>
              <w:spacing w:after="0"/>
              <w:ind w:firstLineChars="100" w:firstLine="210"/>
              <w:rPr>
                <w:rFonts w:ascii="仿宋" w:eastAsia="仿宋" w:hAnsi="仿宋" w:cs="Times New Roman"/>
                <w:sz w:val="21"/>
                <w:szCs w:val="21"/>
              </w:rPr>
            </w:pPr>
          </w:p>
        </w:tc>
        <w:tc>
          <w:tcPr>
            <w:tcW w:w="864" w:type="pct"/>
            <w:vAlign w:val="center"/>
          </w:tcPr>
          <w:p w:rsidR="00C2069C" w:rsidRPr="00927E7B" w:rsidRDefault="00D42AEC">
            <w:pPr>
              <w:pStyle w:val="a7"/>
              <w:numPr>
                <w:ilvl w:val="1"/>
                <w:numId w:val="1"/>
              </w:numPr>
              <w:autoSpaceDE w:val="0"/>
              <w:autoSpaceDN w:val="0"/>
              <w:spacing w:after="0"/>
              <w:ind w:firstLineChars="0"/>
              <w:rPr>
                <w:rFonts w:ascii="仿宋" w:eastAsia="仿宋" w:hAnsi="仿宋" w:cs="Times New Roman"/>
                <w:sz w:val="21"/>
                <w:szCs w:val="21"/>
              </w:rPr>
            </w:pPr>
            <w:r w:rsidRPr="00927E7B">
              <w:rPr>
                <w:rFonts w:ascii="仿宋" w:eastAsia="仿宋" w:hAnsi="仿宋" w:cs="Times New Roman"/>
                <w:sz w:val="21"/>
                <w:szCs w:val="21"/>
              </w:rPr>
              <w:t>课程目标定位</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hint="eastAsia"/>
                <w:sz w:val="21"/>
                <w:szCs w:val="21"/>
              </w:rPr>
              <w:t>课程目标与支撑的毕业要求关联明确、合理且有效；能清晰描述学生能力要求，体现课程在体系中的地位与能力层次，可衡量、可评价。</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课程目标基本契合毕业要求</w:t>
            </w:r>
            <w:r>
              <w:rPr>
                <w:rFonts w:ascii="仿宋" w:eastAsia="仿宋" w:hAnsi="仿宋" w:cs="Times New Roman" w:hint="eastAsia"/>
                <w:sz w:val="21"/>
                <w:szCs w:val="21"/>
              </w:rPr>
              <w:t>；对学生的能力要求表述全面</w:t>
            </w:r>
            <w:r>
              <w:rPr>
                <w:rFonts w:ascii="仿宋" w:eastAsia="仿宋" w:hAnsi="仿宋" w:cs="Times New Roman"/>
                <w:sz w:val="21"/>
                <w:szCs w:val="21"/>
              </w:rPr>
              <w:t>。</w:t>
            </w:r>
          </w:p>
        </w:tc>
      </w:tr>
      <w:tr w:rsidR="00C2069C" w:rsidTr="0006467B">
        <w:trPr>
          <w:cantSplit/>
          <w:trHeight w:val="717"/>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1.</w:t>
            </w:r>
            <w:r w:rsidRPr="00927E7B">
              <w:rPr>
                <w:rFonts w:ascii="仿宋" w:eastAsia="仿宋" w:hAnsi="仿宋" w:cs="Times New Roman"/>
                <w:sz w:val="21"/>
                <w:szCs w:val="21"/>
              </w:rPr>
              <w:t>2</w:t>
            </w:r>
            <w:r w:rsidRPr="00927E7B">
              <w:rPr>
                <w:rFonts w:ascii="仿宋" w:eastAsia="仿宋" w:hAnsi="仿宋" w:cs="Times New Roman" w:hint="eastAsia"/>
                <w:sz w:val="21"/>
                <w:szCs w:val="21"/>
              </w:rPr>
              <w:t xml:space="preserve"> </w:t>
            </w:r>
            <w:r w:rsidRPr="00927E7B">
              <w:rPr>
                <w:rFonts w:ascii="仿宋" w:eastAsia="仿宋" w:hAnsi="仿宋" w:cs="Times New Roman"/>
                <w:sz w:val="21"/>
                <w:szCs w:val="21"/>
              </w:rPr>
              <w:t>教学</w:t>
            </w:r>
            <w:r w:rsidRPr="00927E7B">
              <w:rPr>
                <w:rFonts w:ascii="仿宋" w:eastAsia="仿宋" w:hAnsi="仿宋" w:cs="Times New Roman" w:hint="eastAsia"/>
                <w:sz w:val="21"/>
                <w:szCs w:val="21"/>
              </w:rPr>
              <w:t>内容</w:t>
            </w:r>
            <w:r w:rsidRPr="00927E7B">
              <w:rPr>
                <w:rFonts w:ascii="仿宋" w:eastAsia="仿宋" w:hAnsi="仿宋" w:cs="Times New Roman"/>
                <w:sz w:val="21"/>
                <w:szCs w:val="21"/>
              </w:rPr>
              <w:t>高阶性、创新性和挑战度</w:t>
            </w:r>
            <w:r w:rsidRPr="00927E7B">
              <w:rPr>
                <w:rFonts w:ascii="仿宋" w:eastAsia="仿宋" w:hAnsi="仿宋" w:cs="Times New Roman" w:hint="eastAsia"/>
                <w:sz w:val="21"/>
                <w:szCs w:val="21"/>
              </w:rPr>
              <w:t xml:space="preserve"> </w:t>
            </w:r>
          </w:p>
        </w:tc>
        <w:tc>
          <w:tcPr>
            <w:tcW w:w="2083" w:type="pct"/>
            <w:vAlign w:val="center"/>
          </w:tcPr>
          <w:p w:rsidR="00C2069C" w:rsidRPr="00927E7B" w:rsidRDefault="00D42AEC" w:rsidP="00E5610E">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hint="eastAsia"/>
                <w:sz w:val="21"/>
                <w:szCs w:val="21"/>
              </w:rPr>
              <w:t>教学内容与课程目标对应性强，深度广度适宜，注重培养学生解决复杂问题的综合能力与高阶思维；能反映学科最新发展，适应新科技与新经济</w:t>
            </w:r>
            <w:r w:rsidR="00E5610E" w:rsidRPr="00927E7B">
              <w:rPr>
                <w:rFonts w:ascii="仿宋" w:eastAsia="仿宋" w:hAnsi="仿宋" w:cs="Times New Roman" w:hint="eastAsia"/>
                <w:sz w:val="21"/>
                <w:szCs w:val="21"/>
              </w:rPr>
              <w:t>发展要</w:t>
            </w:r>
            <w:r w:rsidRPr="00927E7B">
              <w:rPr>
                <w:rFonts w:ascii="仿宋" w:eastAsia="仿宋" w:hAnsi="仿宋" w:cs="Times New Roman" w:hint="eastAsia"/>
                <w:sz w:val="21"/>
                <w:szCs w:val="21"/>
              </w:rPr>
              <w:t>求；具备挑战度，可激发学生学习潜能与求知欲。</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课程教学内容与课程目标</w:t>
            </w:r>
            <w:r>
              <w:rPr>
                <w:rFonts w:ascii="仿宋" w:eastAsia="仿宋" w:hAnsi="仿宋" w:cs="Times New Roman" w:hint="eastAsia"/>
                <w:sz w:val="21"/>
                <w:szCs w:val="21"/>
              </w:rPr>
              <w:t>基本</w:t>
            </w:r>
            <w:r>
              <w:rPr>
                <w:rFonts w:ascii="仿宋" w:eastAsia="仿宋" w:hAnsi="仿宋" w:cs="Times New Roman"/>
                <w:sz w:val="21"/>
                <w:szCs w:val="21"/>
              </w:rPr>
              <w:t>对应，深度广度比较适当</w:t>
            </w:r>
            <w:r>
              <w:rPr>
                <w:rFonts w:ascii="仿宋" w:eastAsia="仿宋" w:hAnsi="仿宋" w:cs="Times New Roman" w:hint="eastAsia"/>
                <w:sz w:val="21"/>
                <w:szCs w:val="21"/>
              </w:rPr>
              <w:t>；</w:t>
            </w:r>
            <w:r>
              <w:rPr>
                <w:rFonts w:ascii="仿宋" w:eastAsia="仿宋" w:hAnsi="仿宋" w:cs="Times New Roman"/>
                <w:sz w:val="21"/>
                <w:szCs w:val="21"/>
              </w:rPr>
              <w:t>相关学科领域最新发展有所涉及</w:t>
            </w:r>
            <w:r>
              <w:rPr>
                <w:rFonts w:ascii="仿宋" w:eastAsia="仿宋" w:hAnsi="仿宋" w:cs="Times New Roman" w:hint="eastAsia"/>
                <w:sz w:val="21"/>
                <w:szCs w:val="21"/>
              </w:rPr>
              <w:t>，有一定的挑战度。</w:t>
            </w:r>
          </w:p>
        </w:tc>
      </w:tr>
      <w:tr w:rsidR="00C2069C" w:rsidTr="0006467B">
        <w:trPr>
          <w:cantSplit/>
          <w:trHeight w:val="556"/>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1.</w:t>
            </w:r>
            <w:r w:rsidRPr="00927E7B">
              <w:rPr>
                <w:rFonts w:ascii="仿宋" w:eastAsia="仿宋" w:hAnsi="仿宋" w:cs="Times New Roman"/>
                <w:sz w:val="21"/>
                <w:szCs w:val="21"/>
              </w:rPr>
              <w:t>3</w:t>
            </w:r>
            <w:r w:rsidRPr="00927E7B">
              <w:rPr>
                <w:rFonts w:ascii="仿宋" w:eastAsia="仿宋" w:hAnsi="仿宋" w:cs="Times New Roman" w:hint="eastAsia"/>
                <w:sz w:val="21"/>
                <w:szCs w:val="21"/>
              </w:rPr>
              <w:t xml:space="preserve"> </w:t>
            </w:r>
            <w:r w:rsidRPr="00927E7B">
              <w:rPr>
                <w:rFonts w:ascii="仿宋" w:eastAsia="仿宋" w:hAnsi="仿宋" w:cs="Times New Roman"/>
                <w:sz w:val="21"/>
                <w:szCs w:val="21"/>
              </w:rPr>
              <w:t>课程思政</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hint="eastAsia"/>
                <w:sz w:val="21"/>
                <w:szCs w:val="21"/>
              </w:rPr>
              <w:t>课程思政教学目标符合《高等学校课程思政建设指导纲要》；</w:t>
            </w:r>
            <w:r w:rsidRPr="00927E7B">
              <w:rPr>
                <w:rFonts w:ascii="仿宋" w:eastAsia="仿宋" w:hAnsi="仿宋" w:cs="Times New Roman"/>
                <w:sz w:val="21"/>
                <w:szCs w:val="21"/>
              </w:rPr>
              <w:t>课程内容坚持知识传授</w:t>
            </w:r>
            <w:r w:rsidRPr="00927E7B">
              <w:rPr>
                <w:rFonts w:ascii="仿宋" w:eastAsia="仿宋" w:hAnsi="仿宋" w:cs="Times New Roman" w:hint="eastAsia"/>
                <w:sz w:val="21"/>
                <w:szCs w:val="21"/>
              </w:rPr>
              <w:t>、能力培养</w:t>
            </w:r>
            <w:r w:rsidRPr="00927E7B">
              <w:rPr>
                <w:rFonts w:ascii="仿宋" w:eastAsia="仿宋" w:hAnsi="仿宋" w:cs="Times New Roman"/>
                <w:sz w:val="21"/>
                <w:szCs w:val="21"/>
              </w:rPr>
              <w:t>与</w:t>
            </w:r>
            <w:bookmarkStart w:id="0" w:name="_GoBack"/>
            <w:bookmarkEnd w:id="0"/>
            <w:r w:rsidRPr="00927E7B">
              <w:rPr>
                <w:rFonts w:ascii="仿宋" w:eastAsia="仿宋" w:hAnsi="仿宋" w:cs="Times New Roman"/>
                <w:sz w:val="21"/>
                <w:szCs w:val="21"/>
              </w:rPr>
              <w:t>价值引领相统一，充分发掘课程和教学方式中蕴含的思想政治教育资源。</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hint="eastAsia"/>
                <w:sz w:val="21"/>
                <w:szCs w:val="21"/>
              </w:rPr>
              <w:t>课程思政教学目标基本符合《高等学校课程思政建设指导纲要》；</w:t>
            </w:r>
            <w:r>
              <w:rPr>
                <w:rFonts w:ascii="仿宋" w:eastAsia="仿宋" w:hAnsi="仿宋" w:cs="Times New Roman"/>
                <w:sz w:val="21"/>
                <w:szCs w:val="21"/>
              </w:rPr>
              <w:t>课程内容能发掘课程和教学方式中蕴含的思想政治教育资源。</w:t>
            </w:r>
          </w:p>
        </w:tc>
      </w:tr>
      <w:tr w:rsidR="00C2069C" w:rsidTr="0006467B">
        <w:trPr>
          <w:cantSplit/>
          <w:trHeight w:val="1096"/>
        </w:trPr>
        <w:tc>
          <w:tcPr>
            <w:tcW w:w="456" w:type="pct"/>
            <w:vMerge w:val="restart"/>
            <w:vAlign w:val="center"/>
          </w:tcPr>
          <w:p w:rsidR="00C2069C" w:rsidRPr="00927E7B" w:rsidRDefault="00C2069C">
            <w:pPr>
              <w:spacing w:after="0"/>
              <w:rPr>
                <w:rFonts w:ascii="仿宋" w:eastAsia="仿宋" w:hAnsi="仿宋" w:cs="Times New Roman"/>
                <w:sz w:val="21"/>
                <w:szCs w:val="21"/>
              </w:rPr>
            </w:pPr>
          </w:p>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sz w:val="21"/>
                <w:szCs w:val="21"/>
              </w:rPr>
              <w:t>2.课程考核与评价</w:t>
            </w:r>
          </w:p>
          <w:p w:rsidR="00C2069C" w:rsidRPr="00927E7B" w:rsidRDefault="00C2069C">
            <w:pPr>
              <w:spacing w:after="0"/>
              <w:ind w:firstLineChars="100" w:firstLine="210"/>
              <w:rPr>
                <w:rFonts w:ascii="仿宋" w:eastAsia="仿宋" w:hAnsi="仿宋" w:cs="Times New Roman"/>
                <w:sz w:val="21"/>
                <w:szCs w:val="21"/>
              </w:rPr>
            </w:pP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2.1 </w:t>
            </w:r>
            <w:r w:rsidRPr="00927E7B">
              <w:rPr>
                <w:rFonts w:ascii="仿宋" w:eastAsia="仿宋" w:hAnsi="仿宋" w:cs="Times New Roman"/>
                <w:sz w:val="21"/>
                <w:szCs w:val="21"/>
              </w:rPr>
              <w:t>课程考核</w:t>
            </w:r>
            <w:r w:rsidRPr="00927E7B">
              <w:rPr>
                <w:rFonts w:ascii="仿宋" w:eastAsia="仿宋" w:hAnsi="仿宋" w:cs="Times New Roman" w:hint="eastAsia"/>
                <w:sz w:val="21"/>
                <w:szCs w:val="21"/>
              </w:rPr>
              <w:t xml:space="preserve">方式 </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hint="eastAsia"/>
                <w:sz w:val="21"/>
                <w:szCs w:val="21"/>
              </w:rPr>
              <w:t>采用多元评价方法，能检验每项课程目标达成情况；评价标准合理，能反映课程目标达成的“底线”；采用过程性与结果性考核相结合的方式进行评价以激发学生学习动力。</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课程考核</w:t>
            </w:r>
            <w:r>
              <w:rPr>
                <w:rFonts w:ascii="仿宋" w:eastAsia="仿宋" w:hAnsi="仿宋" w:cs="Times New Roman" w:hint="eastAsia"/>
                <w:sz w:val="21"/>
                <w:szCs w:val="21"/>
              </w:rPr>
              <w:t>采用比较适当</w:t>
            </w:r>
            <w:r>
              <w:rPr>
                <w:rFonts w:ascii="仿宋" w:eastAsia="仿宋" w:hAnsi="仿宋" w:cs="Times New Roman"/>
                <w:sz w:val="21"/>
                <w:szCs w:val="21"/>
              </w:rPr>
              <w:t>的评价方法，</w:t>
            </w:r>
            <w:r>
              <w:rPr>
                <w:rFonts w:ascii="仿宋" w:eastAsia="仿宋" w:hAnsi="仿宋" w:cs="Times New Roman" w:hint="eastAsia"/>
                <w:sz w:val="21"/>
                <w:szCs w:val="21"/>
              </w:rPr>
              <w:t>基本能检验课程目标达成情况；评价标准比较合理。</w:t>
            </w:r>
          </w:p>
        </w:tc>
      </w:tr>
      <w:tr w:rsidR="00C2069C" w:rsidTr="0006467B">
        <w:trPr>
          <w:cantSplit/>
          <w:trHeight w:val="392"/>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2.2 课程考核内容  </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bookmarkStart w:id="1" w:name="OLE_LINK1"/>
            <w:bookmarkStart w:id="2" w:name="OLE_LINK2"/>
            <w:r w:rsidRPr="00927E7B">
              <w:rPr>
                <w:rFonts w:ascii="仿宋" w:eastAsia="仿宋" w:hAnsi="仿宋" w:cs="Times New Roman"/>
                <w:sz w:val="21"/>
                <w:szCs w:val="21"/>
              </w:rPr>
              <w:t>考核内容</w:t>
            </w:r>
            <w:r w:rsidRPr="00927E7B">
              <w:rPr>
                <w:rFonts w:ascii="仿宋" w:eastAsia="仿宋" w:hAnsi="仿宋" w:cs="Times New Roman" w:hint="eastAsia"/>
                <w:sz w:val="21"/>
                <w:szCs w:val="21"/>
              </w:rPr>
              <w:t>能体现学生基于知识解决问题的能力，而非单纯的知识考核，且与课程目标要求的能力要素一致；有课程目标考核内容合理性审核记录；考核资料规范齐全</w:t>
            </w:r>
            <w:r w:rsidRPr="00927E7B">
              <w:rPr>
                <w:rFonts w:ascii="仿宋" w:eastAsia="仿宋" w:hAnsi="仿宋" w:cs="Times New Roman"/>
                <w:sz w:val="21"/>
                <w:szCs w:val="21"/>
              </w:rPr>
              <w:t>。</w:t>
            </w:r>
            <w:bookmarkEnd w:id="1"/>
            <w:bookmarkEnd w:id="2"/>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课程考核内容</w:t>
            </w:r>
            <w:r>
              <w:rPr>
                <w:rFonts w:ascii="仿宋" w:eastAsia="仿宋" w:hAnsi="仿宋" w:cs="Times New Roman" w:hint="eastAsia"/>
                <w:sz w:val="21"/>
                <w:szCs w:val="21"/>
              </w:rPr>
              <w:t>与课程目标要求的能力要素基本一致；</w:t>
            </w:r>
            <w:r>
              <w:rPr>
                <w:rFonts w:ascii="仿宋" w:eastAsia="仿宋" w:hAnsi="仿宋" w:cs="Times New Roman"/>
                <w:sz w:val="21"/>
                <w:szCs w:val="21"/>
              </w:rPr>
              <w:t>考核资料完整。</w:t>
            </w:r>
          </w:p>
        </w:tc>
      </w:tr>
      <w:tr w:rsidR="00C2069C" w:rsidTr="0006467B">
        <w:trPr>
          <w:cantSplit/>
          <w:trHeight w:val="392"/>
        </w:trPr>
        <w:tc>
          <w:tcPr>
            <w:tcW w:w="456" w:type="pct"/>
            <w:vMerge w:val="restart"/>
            <w:vAlign w:val="center"/>
          </w:tcPr>
          <w:p w:rsidR="00C2069C" w:rsidRPr="00927E7B" w:rsidRDefault="00C2069C">
            <w:pPr>
              <w:spacing w:after="0"/>
              <w:rPr>
                <w:rFonts w:ascii="仿宋" w:eastAsia="仿宋" w:hAnsi="仿宋" w:cs="Times New Roman"/>
                <w:sz w:val="21"/>
                <w:szCs w:val="21"/>
              </w:rPr>
            </w:pPr>
          </w:p>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sz w:val="21"/>
                <w:szCs w:val="21"/>
              </w:rPr>
              <w:t>3.课程资源与支持条件</w:t>
            </w:r>
          </w:p>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   </w:t>
            </w: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3.1 </w:t>
            </w:r>
            <w:r w:rsidRPr="00927E7B">
              <w:rPr>
                <w:rFonts w:ascii="仿宋" w:eastAsia="仿宋" w:hAnsi="仿宋" w:cs="Times New Roman"/>
                <w:sz w:val="21"/>
                <w:szCs w:val="21"/>
              </w:rPr>
              <w:t>课程师资团队</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sz w:val="21"/>
                <w:szCs w:val="21"/>
              </w:rPr>
              <w:t>课程负责人具有正高级职称</w:t>
            </w:r>
            <w:r w:rsidRPr="00927E7B">
              <w:rPr>
                <w:rFonts w:ascii="仿宋" w:eastAsia="仿宋" w:hAnsi="仿宋" w:cs="Times New Roman" w:hint="eastAsia"/>
                <w:sz w:val="21"/>
                <w:szCs w:val="21"/>
              </w:rPr>
              <w:t>；</w:t>
            </w:r>
            <w:r w:rsidRPr="00927E7B">
              <w:rPr>
                <w:rFonts w:ascii="仿宋" w:eastAsia="仿宋" w:hAnsi="仿宋" w:cs="Times New Roman"/>
                <w:sz w:val="21"/>
                <w:szCs w:val="21"/>
              </w:rPr>
              <w:t>教学科研成果丰富，能有效组织开展教学研究与改革，在青年教师培养、团队建设中发挥积极带头作用</w:t>
            </w:r>
            <w:r w:rsidRPr="00927E7B">
              <w:rPr>
                <w:rFonts w:ascii="仿宋" w:eastAsia="仿宋" w:hAnsi="仿宋" w:cs="Times New Roman" w:hint="eastAsia"/>
                <w:sz w:val="21"/>
                <w:szCs w:val="21"/>
              </w:rPr>
              <w:t>；</w:t>
            </w:r>
            <w:r w:rsidRPr="00927E7B">
              <w:rPr>
                <w:rFonts w:ascii="仿宋" w:eastAsia="仿宋" w:hAnsi="仿宋" w:cs="Times New Roman"/>
                <w:sz w:val="21"/>
                <w:szCs w:val="21"/>
              </w:rPr>
              <w:t>基层教学组织</w:t>
            </w:r>
            <w:r w:rsidRPr="00927E7B">
              <w:rPr>
                <w:rFonts w:ascii="仿宋" w:eastAsia="仿宋" w:hAnsi="仿宋" w:cs="Times New Roman" w:hint="eastAsia"/>
                <w:sz w:val="21"/>
                <w:szCs w:val="21"/>
              </w:rPr>
              <w:t>完善；</w:t>
            </w:r>
            <w:r w:rsidRPr="00927E7B">
              <w:rPr>
                <w:rFonts w:ascii="仿宋" w:eastAsia="仿宋" w:hAnsi="仿宋" w:cs="Times New Roman"/>
                <w:sz w:val="21"/>
                <w:szCs w:val="21"/>
              </w:rPr>
              <w:t>团队教师师德高尚，注重充分挖掘德育素材；学生对师德师风评价高。</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课程负责人具有中级职称，且具有博士学位</w:t>
            </w:r>
            <w:r>
              <w:rPr>
                <w:rFonts w:ascii="仿宋" w:eastAsia="仿宋" w:hAnsi="仿宋" w:cs="Times New Roman" w:hint="eastAsia"/>
                <w:sz w:val="21"/>
                <w:szCs w:val="21"/>
              </w:rPr>
              <w:t>；</w:t>
            </w:r>
            <w:r>
              <w:rPr>
                <w:rFonts w:ascii="仿宋" w:eastAsia="仿宋" w:hAnsi="仿宋" w:cs="Times New Roman"/>
                <w:sz w:val="21"/>
                <w:szCs w:val="21"/>
              </w:rPr>
              <w:t>有一定</w:t>
            </w:r>
            <w:r>
              <w:rPr>
                <w:rFonts w:ascii="仿宋" w:eastAsia="仿宋" w:hAnsi="仿宋" w:cs="Times New Roman" w:hint="eastAsia"/>
                <w:sz w:val="21"/>
                <w:szCs w:val="21"/>
              </w:rPr>
              <w:t>的</w:t>
            </w:r>
            <w:r>
              <w:rPr>
                <w:rFonts w:ascii="仿宋" w:eastAsia="仿宋" w:hAnsi="仿宋" w:cs="Times New Roman"/>
                <w:sz w:val="21"/>
                <w:szCs w:val="21"/>
              </w:rPr>
              <w:t>教学科研成果</w:t>
            </w:r>
            <w:r>
              <w:rPr>
                <w:rFonts w:ascii="仿宋" w:eastAsia="仿宋" w:hAnsi="仿宋" w:cs="Times New Roman" w:hint="eastAsia"/>
                <w:sz w:val="21"/>
                <w:szCs w:val="21"/>
              </w:rPr>
              <w:t>；</w:t>
            </w:r>
            <w:r>
              <w:rPr>
                <w:rFonts w:ascii="仿宋" w:eastAsia="仿宋" w:hAnsi="仿宋" w:cs="Times New Roman"/>
                <w:sz w:val="21"/>
                <w:szCs w:val="21"/>
              </w:rPr>
              <w:t>团队教师重视教书育人，遵守学校规章制度，近三年无教学事故；学生对师德师风评价</w:t>
            </w:r>
            <w:r>
              <w:rPr>
                <w:rFonts w:ascii="仿宋" w:eastAsia="仿宋" w:hAnsi="仿宋" w:cs="Times New Roman" w:hint="eastAsia"/>
                <w:sz w:val="21"/>
                <w:szCs w:val="21"/>
              </w:rPr>
              <w:t>比</w:t>
            </w:r>
            <w:r>
              <w:rPr>
                <w:rFonts w:ascii="仿宋" w:eastAsia="仿宋" w:hAnsi="仿宋" w:cs="Times New Roman"/>
                <w:sz w:val="21"/>
                <w:szCs w:val="21"/>
              </w:rPr>
              <w:t>较好。</w:t>
            </w:r>
          </w:p>
        </w:tc>
      </w:tr>
      <w:tr w:rsidR="00C2069C" w:rsidTr="0006467B">
        <w:trPr>
          <w:cantSplit/>
          <w:trHeight w:val="723"/>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C2069C">
            <w:pPr>
              <w:autoSpaceDE w:val="0"/>
              <w:autoSpaceDN w:val="0"/>
              <w:spacing w:after="0"/>
              <w:rPr>
                <w:rFonts w:ascii="仿宋" w:eastAsia="仿宋" w:hAnsi="仿宋" w:cs="Times New Roman"/>
                <w:sz w:val="21"/>
                <w:szCs w:val="21"/>
              </w:rPr>
            </w:pPr>
          </w:p>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3.2</w:t>
            </w:r>
            <w:r w:rsidRPr="00927E7B">
              <w:rPr>
                <w:rFonts w:ascii="仿宋" w:eastAsia="仿宋" w:hAnsi="仿宋" w:cs="Times New Roman"/>
                <w:sz w:val="21"/>
                <w:szCs w:val="21"/>
              </w:rPr>
              <w:t xml:space="preserve"> 网络教学资源建设</w:t>
            </w:r>
          </w:p>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  </w:t>
            </w:r>
            <w:r w:rsidRPr="00927E7B">
              <w:rPr>
                <w:rFonts w:ascii="仿宋" w:eastAsia="仿宋" w:hAnsi="仿宋" w:cs="Times New Roman"/>
                <w:sz w:val="21"/>
                <w:szCs w:val="21"/>
              </w:rPr>
              <w:t xml:space="preserve">       </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hint="eastAsia"/>
                <w:sz w:val="21"/>
                <w:szCs w:val="21"/>
              </w:rPr>
              <w:t>建立“智慧课堂”，电子教案、课件、大纲等网络教学资源完备且定期更新；现代信息技术与教学深度融合，可视化、多媒体的资源在教学中作用显著。</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课程网络教学资源建设已初具规模，基本具备学生自学、教师备课、师生互动等功能。</w:t>
            </w:r>
          </w:p>
        </w:tc>
      </w:tr>
      <w:tr w:rsidR="00C2069C" w:rsidTr="0006467B">
        <w:trPr>
          <w:cantSplit/>
          <w:trHeight w:val="392"/>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C2069C">
            <w:pPr>
              <w:autoSpaceDE w:val="0"/>
              <w:autoSpaceDN w:val="0"/>
              <w:spacing w:after="0"/>
              <w:rPr>
                <w:rFonts w:ascii="仿宋" w:eastAsia="仿宋" w:hAnsi="仿宋" w:cs="Times New Roman"/>
                <w:sz w:val="21"/>
                <w:szCs w:val="21"/>
              </w:rPr>
            </w:pPr>
          </w:p>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3.3 </w:t>
            </w:r>
            <w:r w:rsidRPr="00927E7B">
              <w:rPr>
                <w:rFonts w:ascii="仿宋" w:eastAsia="仿宋" w:hAnsi="仿宋" w:cs="Times New Roman"/>
                <w:sz w:val="21"/>
                <w:szCs w:val="21"/>
              </w:rPr>
              <w:t>学习资源</w:t>
            </w:r>
            <w:r w:rsidRPr="00927E7B">
              <w:rPr>
                <w:rFonts w:ascii="仿宋" w:eastAsia="仿宋" w:hAnsi="仿宋" w:cs="Times New Roman" w:hint="eastAsia"/>
                <w:sz w:val="21"/>
                <w:szCs w:val="21"/>
              </w:rPr>
              <w:t>与</w:t>
            </w:r>
            <w:r w:rsidRPr="00927E7B">
              <w:rPr>
                <w:rFonts w:ascii="仿宋" w:eastAsia="仿宋" w:hAnsi="仿宋" w:cs="Times New Roman"/>
                <w:sz w:val="21"/>
                <w:szCs w:val="21"/>
              </w:rPr>
              <w:t>支持</w:t>
            </w:r>
          </w:p>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           </w:t>
            </w:r>
          </w:p>
        </w:tc>
        <w:tc>
          <w:tcPr>
            <w:tcW w:w="2083" w:type="pct"/>
            <w:vAlign w:val="center"/>
          </w:tcPr>
          <w:p w:rsidR="00C2069C" w:rsidRPr="00927E7B" w:rsidRDefault="00D42AEC" w:rsidP="00CC5551">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sz w:val="21"/>
                <w:szCs w:val="21"/>
              </w:rPr>
              <w:t>教材内容符合教学大纲要求</w:t>
            </w:r>
            <w:r w:rsidRPr="00927E7B">
              <w:rPr>
                <w:rFonts w:ascii="仿宋" w:eastAsia="仿宋" w:hAnsi="仿宋" w:cs="Times New Roman" w:hint="eastAsia"/>
                <w:sz w:val="21"/>
                <w:szCs w:val="21"/>
              </w:rPr>
              <w:t>；</w:t>
            </w:r>
            <w:r w:rsidRPr="00927E7B">
              <w:rPr>
                <w:rFonts w:ascii="仿宋" w:eastAsia="仿宋" w:hAnsi="仿宋" w:cs="Times New Roman"/>
                <w:sz w:val="21"/>
                <w:szCs w:val="21"/>
              </w:rPr>
              <w:t>按要求选用“马工程”教材</w:t>
            </w:r>
            <w:r w:rsidRPr="00927E7B">
              <w:rPr>
                <w:rFonts w:ascii="仿宋" w:eastAsia="仿宋" w:hAnsi="仿宋" w:cs="Times New Roman" w:hint="eastAsia"/>
                <w:sz w:val="21"/>
                <w:szCs w:val="21"/>
              </w:rPr>
              <w:t>，</w:t>
            </w:r>
            <w:r w:rsidRPr="00927E7B">
              <w:rPr>
                <w:rFonts w:ascii="仿宋" w:eastAsia="仿宋" w:hAnsi="仿宋" w:cs="Times New Roman"/>
                <w:sz w:val="21"/>
                <w:szCs w:val="21"/>
              </w:rPr>
              <w:t>国家及省部级获奖优秀教材、规划教材</w:t>
            </w:r>
            <w:r w:rsidRPr="00927E7B">
              <w:rPr>
                <w:rFonts w:ascii="仿宋" w:eastAsia="仿宋" w:hAnsi="仿宋" w:cs="Times New Roman" w:hint="eastAsia"/>
                <w:sz w:val="21"/>
                <w:szCs w:val="21"/>
              </w:rPr>
              <w:t>和</w:t>
            </w:r>
            <w:r w:rsidRPr="00927E7B">
              <w:rPr>
                <w:rFonts w:ascii="仿宋" w:eastAsia="仿宋" w:hAnsi="仿宋" w:cs="Times New Roman"/>
                <w:sz w:val="21"/>
                <w:szCs w:val="21"/>
              </w:rPr>
              <w:t>精品教材</w:t>
            </w:r>
            <w:r w:rsidRPr="00927E7B">
              <w:rPr>
                <w:rFonts w:ascii="仿宋" w:eastAsia="仿宋" w:hAnsi="仿宋" w:cs="Times New Roman" w:hint="eastAsia"/>
                <w:sz w:val="21"/>
                <w:szCs w:val="21"/>
              </w:rPr>
              <w:t>，</w:t>
            </w:r>
            <w:r w:rsidRPr="00927E7B">
              <w:rPr>
                <w:rFonts w:ascii="仿宋" w:eastAsia="仿宋" w:hAnsi="仿宋" w:cs="Times New Roman"/>
                <w:sz w:val="21"/>
                <w:szCs w:val="21"/>
              </w:rPr>
              <w:t>国外优秀教材</w:t>
            </w:r>
            <w:r w:rsidRPr="00927E7B">
              <w:rPr>
                <w:rFonts w:ascii="仿宋" w:eastAsia="仿宋" w:hAnsi="仿宋" w:cs="Times New Roman" w:hint="eastAsia"/>
                <w:sz w:val="21"/>
                <w:szCs w:val="21"/>
              </w:rPr>
              <w:t>或</w:t>
            </w:r>
            <w:r w:rsidRPr="00927E7B">
              <w:rPr>
                <w:rFonts w:ascii="仿宋" w:eastAsia="仿宋" w:hAnsi="仿宋" w:cs="Times New Roman"/>
                <w:sz w:val="21"/>
                <w:szCs w:val="21"/>
              </w:rPr>
              <w:t>近三年出版的新教材</w:t>
            </w:r>
            <w:r w:rsidRPr="00927E7B">
              <w:rPr>
                <w:rFonts w:ascii="仿宋" w:eastAsia="仿宋" w:hAnsi="仿宋" w:cs="Times New Roman" w:hint="eastAsia"/>
                <w:sz w:val="21"/>
                <w:szCs w:val="21"/>
              </w:rPr>
              <w:t>；</w:t>
            </w:r>
            <w:r w:rsidRPr="00927E7B">
              <w:rPr>
                <w:rFonts w:ascii="仿宋" w:eastAsia="仿宋" w:hAnsi="仿宋" w:cs="Times New Roman"/>
                <w:sz w:val="21"/>
                <w:szCs w:val="21"/>
              </w:rPr>
              <w:t>主编或参编</w:t>
            </w:r>
            <w:r w:rsidRPr="00927E7B">
              <w:rPr>
                <w:rFonts w:ascii="仿宋" w:eastAsia="仿宋" w:hAnsi="仿宋" w:cs="Times New Roman" w:hint="eastAsia"/>
                <w:sz w:val="21"/>
                <w:szCs w:val="21"/>
              </w:rPr>
              <w:t>国家及省部级</w:t>
            </w:r>
            <w:r w:rsidRPr="00927E7B">
              <w:rPr>
                <w:rFonts w:ascii="仿宋" w:eastAsia="仿宋" w:hAnsi="仿宋" w:cs="Times New Roman"/>
                <w:sz w:val="21"/>
                <w:szCs w:val="21"/>
              </w:rPr>
              <w:t>教材</w:t>
            </w:r>
            <w:r w:rsidR="00CC5551" w:rsidRPr="00927E7B">
              <w:rPr>
                <w:rFonts w:ascii="仿宋" w:eastAsia="仿宋" w:hAnsi="仿宋" w:cs="Times New Roman" w:hint="eastAsia"/>
                <w:sz w:val="21"/>
                <w:szCs w:val="21"/>
              </w:rPr>
              <w:t>、新形态教材、数字化教材；</w:t>
            </w:r>
            <w:r w:rsidRPr="00927E7B">
              <w:rPr>
                <w:rFonts w:ascii="仿宋" w:eastAsia="仿宋" w:hAnsi="仿宋" w:cs="Times New Roman" w:hint="eastAsia"/>
                <w:sz w:val="21"/>
                <w:szCs w:val="21"/>
              </w:rPr>
              <w:t>主编或参编教材</w:t>
            </w:r>
            <w:r w:rsidRPr="00927E7B">
              <w:rPr>
                <w:rFonts w:ascii="仿宋" w:eastAsia="仿宋" w:hAnsi="仿宋" w:cs="Times New Roman"/>
                <w:sz w:val="21"/>
                <w:szCs w:val="21"/>
              </w:rPr>
              <w:t>获奖</w:t>
            </w:r>
            <w:r w:rsidRPr="00927E7B">
              <w:rPr>
                <w:rFonts w:ascii="仿宋" w:eastAsia="仿宋" w:hAnsi="仿宋" w:cs="Times New Roman" w:hint="eastAsia"/>
                <w:sz w:val="21"/>
                <w:szCs w:val="21"/>
              </w:rPr>
              <w:t>；</w:t>
            </w:r>
            <w:r w:rsidRPr="00927E7B">
              <w:rPr>
                <w:rFonts w:ascii="仿宋" w:eastAsia="仿宋" w:hAnsi="仿宋" w:cs="Times New Roman"/>
                <w:sz w:val="21"/>
                <w:szCs w:val="21"/>
              </w:rPr>
              <w:t>提供丰富有效的课</w:t>
            </w:r>
            <w:r w:rsidRPr="00927E7B">
              <w:rPr>
                <w:rFonts w:ascii="仿宋" w:eastAsia="仿宋" w:hAnsi="仿宋" w:cs="Times New Roman" w:hint="eastAsia"/>
                <w:sz w:val="21"/>
                <w:szCs w:val="21"/>
              </w:rPr>
              <w:t>内</w:t>
            </w:r>
            <w:r w:rsidRPr="00927E7B">
              <w:rPr>
                <w:rFonts w:ascii="仿宋" w:eastAsia="仿宋" w:hAnsi="仿宋" w:cs="Times New Roman"/>
                <w:sz w:val="21"/>
                <w:szCs w:val="21"/>
              </w:rPr>
              <w:t>外学习资源，并指导学生高效使用。</w:t>
            </w:r>
          </w:p>
        </w:tc>
        <w:tc>
          <w:tcPr>
            <w:tcW w:w="1597" w:type="pct"/>
            <w:vAlign w:val="center"/>
          </w:tcPr>
          <w:p w:rsidR="00C2069C" w:rsidRDefault="00D42AEC">
            <w:pPr>
              <w:autoSpaceDE w:val="0"/>
              <w:autoSpaceDN w:val="0"/>
              <w:spacing w:after="0" w:line="276" w:lineRule="auto"/>
              <w:jc w:val="both"/>
              <w:rPr>
                <w:rFonts w:ascii="仿宋" w:eastAsia="仿宋" w:hAnsi="仿宋" w:cs="Times New Roman"/>
                <w:sz w:val="21"/>
                <w:szCs w:val="21"/>
              </w:rPr>
            </w:pPr>
            <w:r>
              <w:rPr>
                <w:rFonts w:ascii="仿宋" w:eastAsia="仿宋" w:hAnsi="仿宋" w:cs="Times New Roman"/>
                <w:sz w:val="21"/>
                <w:szCs w:val="21"/>
              </w:rPr>
              <w:t>选用同行公认的优秀教材</w:t>
            </w:r>
            <w:r>
              <w:rPr>
                <w:rFonts w:ascii="仿宋" w:eastAsia="仿宋" w:hAnsi="仿宋" w:cs="Times New Roman" w:hint="eastAsia"/>
                <w:sz w:val="21"/>
                <w:szCs w:val="21"/>
              </w:rPr>
              <w:t>；</w:t>
            </w:r>
            <w:r>
              <w:rPr>
                <w:rFonts w:ascii="仿宋" w:eastAsia="仿宋" w:hAnsi="仿宋" w:cs="Times New Roman"/>
                <w:sz w:val="21"/>
                <w:szCs w:val="21"/>
              </w:rPr>
              <w:t>教材内容基本符合课程教学大纲要求</w:t>
            </w:r>
            <w:r>
              <w:rPr>
                <w:rFonts w:ascii="仿宋" w:eastAsia="仿宋" w:hAnsi="仿宋" w:cs="Times New Roman" w:hint="eastAsia"/>
                <w:sz w:val="21"/>
                <w:szCs w:val="21"/>
              </w:rPr>
              <w:t>；</w:t>
            </w:r>
            <w:r>
              <w:rPr>
                <w:rFonts w:ascii="仿宋" w:eastAsia="仿宋" w:hAnsi="仿宋" w:cs="Times New Roman"/>
                <w:sz w:val="21"/>
                <w:szCs w:val="21"/>
              </w:rPr>
              <w:t>主编或参编教材</w:t>
            </w:r>
            <w:r>
              <w:rPr>
                <w:rFonts w:ascii="仿宋" w:eastAsia="仿宋" w:hAnsi="仿宋" w:cs="Times New Roman" w:hint="eastAsia"/>
                <w:sz w:val="21"/>
                <w:szCs w:val="21"/>
              </w:rPr>
              <w:t>；</w:t>
            </w:r>
            <w:r>
              <w:rPr>
                <w:rFonts w:ascii="仿宋" w:eastAsia="仿宋" w:hAnsi="仿宋" w:cs="Times New Roman"/>
                <w:sz w:val="21"/>
                <w:szCs w:val="21"/>
              </w:rPr>
              <w:t>提供课</w:t>
            </w:r>
            <w:r>
              <w:rPr>
                <w:rFonts w:ascii="仿宋" w:eastAsia="仿宋" w:hAnsi="仿宋" w:cs="Times New Roman" w:hint="eastAsia"/>
                <w:sz w:val="21"/>
                <w:szCs w:val="21"/>
              </w:rPr>
              <w:t>内</w:t>
            </w:r>
            <w:r>
              <w:rPr>
                <w:rFonts w:ascii="仿宋" w:eastAsia="仿宋" w:hAnsi="仿宋" w:cs="Times New Roman"/>
                <w:sz w:val="21"/>
                <w:szCs w:val="21"/>
              </w:rPr>
              <w:t>外学习资源。</w:t>
            </w:r>
          </w:p>
        </w:tc>
      </w:tr>
      <w:tr w:rsidR="00C2069C" w:rsidTr="0006467B">
        <w:trPr>
          <w:cantSplit/>
          <w:trHeight w:val="392"/>
        </w:trPr>
        <w:tc>
          <w:tcPr>
            <w:tcW w:w="456" w:type="pct"/>
            <w:vMerge w:val="restart"/>
            <w:vAlign w:val="center"/>
          </w:tcPr>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sz w:val="21"/>
                <w:szCs w:val="21"/>
              </w:rPr>
              <w:lastRenderedPageBreak/>
              <w:t>4.课程教学过程与改革成效</w:t>
            </w: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4.1 </w:t>
            </w:r>
            <w:r w:rsidRPr="00927E7B">
              <w:rPr>
                <w:rFonts w:ascii="仿宋" w:eastAsia="仿宋" w:hAnsi="仿宋" w:cs="Times New Roman"/>
                <w:sz w:val="21"/>
                <w:szCs w:val="21"/>
              </w:rPr>
              <w:t>教学设计</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sz w:val="21"/>
                <w:szCs w:val="21"/>
              </w:rPr>
              <w:t>有科学完备的教学大纲</w:t>
            </w:r>
            <w:r w:rsidRPr="00927E7B">
              <w:rPr>
                <w:rFonts w:ascii="仿宋" w:eastAsia="仿宋" w:hAnsi="仿宋" w:cs="Times New Roman" w:hint="eastAsia"/>
                <w:sz w:val="21"/>
                <w:szCs w:val="21"/>
              </w:rPr>
              <w:t>、</w:t>
            </w:r>
            <w:r w:rsidRPr="00927E7B">
              <w:rPr>
                <w:rFonts w:ascii="仿宋" w:eastAsia="仿宋" w:hAnsi="仿宋" w:cs="Times New Roman"/>
                <w:sz w:val="21"/>
                <w:szCs w:val="21"/>
              </w:rPr>
              <w:t>教案、课程计划表等教学资料</w:t>
            </w:r>
            <w:r w:rsidRPr="00927E7B">
              <w:rPr>
                <w:rFonts w:ascii="仿宋" w:eastAsia="仿宋" w:hAnsi="仿宋" w:cs="Times New Roman" w:hint="eastAsia"/>
                <w:sz w:val="21"/>
                <w:szCs w:val="21"/>
              </w:rPr>
              <w:t>；</w:t>
            </w:r>
            <w:r w:rsidRPr="00927E7B">
              <w:rPr>
                <w:rFonts w:ascii="仿宋" w:eastAsia="仿宋" w:hAnsi="仿宋" w:cs="仿宋" w:hint="eastAsia"/>
                <w:sz w:val="21"/>
                <w:szCs w:val="21"/>
                <w:lang w:bidi="ar"/>
              </w:rPr>
              <w:t>教学设计体</w:t>
            </w:r>
            <w:r w:rsidRPr="00927E7B">
              <w:rPr>
                <w:rFonts w:ascii="仿宋" w:eastAsia="仿宋" w:hAnsi="仿宋" w:cs="仿宋"/>
                <w:sz w:val="21"/>
                <w:szCs w:val="21"/>
                <w:lang w:bidi="ar"/>
              </w:rPr>
              <w:t>现</w:t>
            </w:r>
            <w:r w:rsidRPr="00927E7B">
              <w:rPr>
                <w:rFonts w:ascii="仿宋" w:eastAsia="仿宋" w:hAnsi="仿宋" w:cs="Times New Roman"/>
                <w:sz w:val="21"/>
                <w:szCs w:val="21"/>
                <w:lang w:bidi="ar"/>
              </w:rPr>
              <w:t>“</w:t>
            </w:r>
            <w:r w:rsidRPr="00927E7B">
              <w:rPr>
                <w:rFonts w:ascii="仿宋" w:eastAsia="仿宋" w:hAnsi="仿宋" w:cs="仿宋" w:hint="eastAsia"/>
                <w:sz w:val="21"/>
                <w:szCs w:val="21"/>
                <w:lang w:bidi="ar"/>
              </w:rPr>
              <w:t>以学生为中心</w:t>
            </w:r>
            <w:r w:rsidRPr="00927E7B">
              <w:rPr>
                <w:rFonts w:ascii="仿宋" w:eastAsia="仿宋" w:hAnsi="仿宋" w:cs="Times New Roman"/>
                <w:sz w:val="21"/>
                <w:szCs w:val="21"/>
                <w:lang w:bidi="ar"/>
              </w:rPr>
              <w:t>”</w:t>
            </w:r>
            <w:r w:rsidRPr="00927E7B">
              <w:rPr>
                <w:rFonts w:ascii="仿宋" w:eastAsia="仿宋" w:hAnsi="仿宋" w:cs="仿宋" w:hint="eastAsia"/>
                <w:sz w:val="21"/>
                <w:szCs w:val="21"/>
                <w:lang w:bidi="ar"/>
              </w:rPr>
              <w:t>，</w:t>
            </w:r>
            <w:r w:rsidRPr="00927E7B">
              <w:rPr>
                <w:rFonts w:ascii="仿宋" w:eastAsia="仿宋" w:hAnsi="仿宋" w:cs="Times New Roman"/>
                <w:sz w:val="21"/>
                <w:szCs w:val="21"/>
              </w:rPr>
              <w:t>融入创新教育理念，注重学生创新意识与能力培养</w:t>
            </w:r>
            <w:r w:rsidRPr="00927E7B">
              <w:rPr>
                <w:rFonts w:ascii="仿宋" w:eastAsia="仿宋" w:hAnsi="仿宋" w:cs="Times New Roman" w:hint="eastAsia"/>
                <w:sz w:val="21"/>
                <w:szCs w:val="21"/>
              </w:rPr>
              <w:t>；</w:t>
            </w:r>
            <w:r w:rsidRPr="00927E7B">
              <w:rPr>
                <w:rFonts w:ascii="仿宋" w:eastAsia="仿宋" w:hAnsi="仿宋" w:cs="仿宋" w:hint="eastAsia"/>
                <w:sz w:val="21"/>
                <w:szCs w:val="21"/>
                <w:lang w:bidi="ar"/>
              </w:rPr>
              <w:t>围绕教学目标系统设计教学内容、教学策略、教学活动等，</w:t>
            </w:r>
            <w:r w:rsidRPr="00927E7B">
              <w:rPr>
                <w:rFonts w:ascii="仿宋" w:eastAsia="仿宋" w:hAnsi="仿宋" w:cs="Times New Roman"/>
                <w:sz w:val="21"/>
                <w:szCs w:val="21"/>
              </w:rPr>
              <w:t>重点难点突出，进度安排得当。</w:t>
            </w:r>
          </w:p>
        </w:tc>
        <w:tc>
          <w:tcPr>
            <w:tcW w:w="1597" w:type="pct"/>
            <w:vAlign w:val="center"/>
          </w:tcPr>
          <w:p w:rsidR="00C2069C" w:rsidRDefault="00D42AEC">
            <w:pPr>
              <w:spacing w:after="0" w:line="276" w:lineRule="auto"/>
              <w:jc w:val="both"/>
              <w:rPr>
                <w:rFonts w:ascii="仿宋" w:eastAsia="仿宋" w:hAnsi="仿宋" w:cs="Times New Roman"/>
                <w:sz w:val="21"/>
                <w:szCs w:val="21"/>
              </w:rPr>
            </w:pPr>
            <w:r>
              <w:rPr>
                <w:rFonts w:ascii="仿宋" w:eastAsia="仿宋" w:hAnsi="仿宋" w:cs="Times New Roman"/>
                <w:sz w:val="21"/>
                <w:szCs w:val="21"/>
              </w:rPr>
              <w:t>教学资料基本完整</w:t>
            </w:r>
            <w:r>
              <w:rPr>
                <w:rFonts w:ascii="仿宋" w:eastAsia="仿宋" w:hAnsi="仿宋" w:cs="Times New Roman" w:hint="eastAsia"/>
                <w:sz w:val="21"/>
                <w:szCs w:val="21"/>
              </w:rPr>
              <w:t>；</w:t>
            </w:r>
            <w:r>
              <w:rPr>
                <w:rFonts w:ascii="仿宋" w:eastAsia="仿宋" w:hAnsi="仿宋" w:cs="Times New Roman"/>
                <w:sz w:val="21"/>
                <w:szCs w:val="21"/>
              </w:rPr>
              <w:t>教学各环节项目</w:t>
            </w:r>
            <w:r>
              <w:rPr>
                <w:rFonts w:ascii="仿宋" w:eastAsia="仿宋" w:hAnsi="仿宋" w:cs="Times New Roman" w:hint="eastAsia"/>
                <w:sz w:val="21"/>
                <w:szCs w:val="21"/>
              </w:rPr>
              <w:t>比</w:t>
            </w:r>
            <w:r>
              <w:rPr>
                <w:rFonts w:ascii="仿宋" w:eastAsia="仿宋" w:hAnsi="仿宋" w:cs="Times New Roman"/>
                <w:sz w:val="21"/>
                <w:szCs w:val="21"/>
              </w:rPr>
              <w:t>较完整，内容要求</w:t>
            </w:r>
            <w:r>
              <w:rPr>
                <w:rFonts w:ascii="仿宋" w:eastAsia="仿宋" w:hAnsi="仿宋" w:cs="Times New Roman" w:hint="eastAsia"/>
                <w:sz w:val="21"/>
                <w:szCs w:val="21"/>
              </w:rPr>
              <w:t>比</w:t>
            </w:r>
            <w:r>
              <w:rPr>
                <w:rFonts w:ascii="仿宋" w:eastAsia="仿宋" w:hAnsi="仿宋" w:cs="Times New Roman"/>
                <w:sz w:val="21"/>
                <w:szCs w:val="21"/>
              </w:rPr>
              <w:t>较明确，重点难点</w:t>
            </w:r>
            <w:r>
              <w:rPr>
                <w:rFonts w:ascii="仿宋" w:eastAsia="仿宋" w:hAnsi="仿宋" w:cs="Times New Roman" w:hint="eastAsia"/>
                <w:sz w:val="21"/>
                <w:szCs w:val="21"/>
              </w:rPr>
              <w:t>比</w:t>
            </w:r>
            <w:r>
              <w:rPr>
                <w:rFonts w:ascii="仿宋" w:eastAsia="仿宋" w:hAnsi="仿宋" w:cs="Times New Roman"/>
                <w:sz w:val="21"/>
                <w:szCs w:val="21"/>
              </w:rPr>
              <w:t>较突出，进度安排比较得当。</w:t>
            </w:r>
          </w:p>
        </w:tc>
      </w:tr>
      <w:tr w:rsidR="00C2069C" w:rsidTr="0006467B">
        <w:trPr>
          <w:cantSplit/>
          <w:trHeight w:val="291"/>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D42AEC">
            <w:pPr>
              <w:autoSpaceDE w:val="0"/>
              <w:autoSpaceDN w:val="0"/>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4.2 </w:t>
            </w:r>
            <w:r w:rsidRPr="00927E7B">
              <w:rPr>
                <w:rFonts w:ascii="仿宋" w:eastAsia="仿宋" w:hAnsi="仿宋" w:cs="Times New Roman"/>
                <w:sz w:val="21"/>
                <w:szCs w:val="21"/>
              </w:rPr>
              <w:t>教学方法与手段</w:t>
            </w:r>
          </w:p>
        </w:tc>
        <w:tc>
          <w:tcPr>
            <w:tcW w:w="2083" w:type="pct"/>
            <w:vAlign w:val="center"/>
          </w:tcPr>
          <w:p w:rsidR="00C2069C" w:rsidRPr="00927E7B" w:rsidRDefault="00D42AEC">
            <w:pPr>
              <w:autoSpaceDE w:val="0"/>
              <w:autoSpaceDN w:val="0"/>
              <w:spacing w:after="0" w:line="276" w:lineRule="auto"/>
              <w:jc w:val="both"/>
              <w:rPr>
                <w:rFonts w:ascii="仿宋" w:eastAsia="仿宋" w:hAnsi="仿宋" w:cs="Times New Roman"/>
                <w:sz w:val="21"/>
                <w:szCs w:val="21"/>
              </w:rPr>
            </w:pPr>
            <w:r w:rsidRPr="00927E7B">
              <w:rPr>
                <w:rFonts w:ascii="仿宋" w:eastAsia="仿宋" w:hAnsi="仿宋" w:cs="Times New Roman" w:hint="eastAsia"/>
                <w:sz w:val="21"/>
                <w:szCs w:val="21"/>
              </w:rPr>
              <w:t>合理运用讨论式、探究式等教学方法，结合混合式教学、翻转课堂及虚拟仿真手段，有效促进学生思考，培养学生综合能力；设计高阶思维锻炼活动并提供个性化指导；结合新时代学生学习特点，利用现代信息技术开展教学，线上线下师生、生生交互协作良好。</w:t>
            </w:r>
          </w:p>
        </w:tc>
        <w:tc>
          <w:tcPr>
            <w:tcW w:w="1597" w:type="pct"/>
            <w:vAlign w:val="center"/>
          </w:tcPr>
          <w:p w:rsidR="00C2069C" w:rsidRDefault="00D42AEC">
            <w:pPr>
              <w:spacing w:after="0" w:line="276" w:lineRule="auto"/>
              <w:jc w:val="both"/>
              <w:rPr>
                <w:rFonts w:ascii="仿宋" w:eastAsia="仿宋" w:hAnsi="仿宋" w:cs="Times New Roman"/>
                <w:sz w:val="21"/>
                <w:szCs w:val="21"/>
              </w:rPr>
            </w:pPr>
            <w:r>
              <w:rPr>
                <w:rFonts w:ascii="仿宋" w:eastAsia="仿宋" w:hAnsi="仿宋" w:cs="Times New Roman"/>
                <w:sz w:val="21"/>
                <w:szCs w:val="21"/>
              </w:rPr>
              <w:t>注重学生思维方法与能力培养</w:t>
            </w:r>
            <w:r>
              <w:rPr>
                <w:rFonts w:ascii="仿宋" w:eastAsia="仿宋" w:hAnsi="仿宋" w:cs="Times New Roman" w:hint="eastAsia"/>
                <w:sz w:val="21"/>
                <w:szCs w:val="21"/>
              </w:rPr>
              <w:t>；有适当的教学策略设计；</w:t>
            </w:r>
            <w:r>
              <w:rPr>
                <w:rFonts w:ascii="仿宋" w:eastAsia="仿宋" w:hAnsi="仿宋" w:cs="Times New Roman"/>
                <w:sz w:val="21"/>
                <w:szCs w:val="21"/>
              </w:rPr>
              <w:t>有师生互动交流。</w:t>
            </w:r>
          </w:p>
        </w:tc>
      </w:tr>
      <w:tr w:rsidR="00C2069C" w:rsidTr="0006467B">
        <w:trPr>
          <w:cantSplit/>
          <w:trHeight w:val="2602"/>
        </w:trPr>
        <w:tc>
          <w:tcPr>
            <w:tcW w:w="456" w:type="pct"/>
            <w:vMerge/>
            <w:vAlign w:val="center"/>
          </w:tcPr>
          <w:p w:rsidR="00C2069C" w:rsidRPr="00927E7B" w:rsidRDefault="00C2069C">
            <w:pPr>
              <w:spacing w:after="0"/>
              <w:rPr>
                <w:rFonts w:ascii="仿宋" w:eastAsia="仿宋" w:hAnsi="仿宋" w:cs="Times New Roman"/>
                <w:sz w:val="21"/>
                <w:szCs w:val="21"/>
              </w:rPr>
            </w:pPr>
          </w:p>
        </w:tc>
        <w:tc>
          <w:tcPr>
            <w:tcW w:w="864" w:type="pct"/>
            <w:vAlign w:val="center"/>
          </w:tcPr>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4.3 </w:t>
            </w:r>
            <w:r w:rsidRPr="00927E7B">
              <w:rPr>
                <w:rFonts w:ascii="仿宋" w:eastAsia="仿宋" w:hAnsi="仿宋" w:cs="Times New Roman"/>
                <w:sz w:val="21"/>
                <w:szCs w:val="21"/>
              </w:rPr>
              <w:t>教学改革成效</w:t>
            </w:r>
          </w:p>
        </w:tc>
        <w:tc>
          <w:tcPr>
            <w:tcW w:w="2083" w:type="pct"/>
            <w:vAlign w:val="center"/>
          </w:tcPr>
          <w:p w:rsidR="00C2069C" w:rsidRPr="00927E7B" w:rsidRDefault="00D42AEC">
            <w:pPr>
              <w:spacing w:after="0" w:line="276" w:lineRule="auto"/>
              <w:jc w:val="both"/>
              <w:rPr>
                <w:rFonts w:ascii="仿宋" w:eastAsia="仿宋" w:hAnsi="仿宋" w:cs="Times New Roman"/>
                <w:sz w:val="21"/>
                <w:szCs w:val="21"/>
              </w:rPr>
            </w:pPr>
            <w:r w:rsidRPr="00927E7B">
              <w:rPr>
                <w:rFonts w:ascii="仿宋" w:eastAsia="仿宋" w:hAnsi="仿宋" w:cs="Times New Roman"/>
                <w:sz w:val="21"/>
                <w:szCs w:val="21"/>
              </w:rPr>
              <w:t>团队成员近两届获1项与本课程有关的省部级二等及以上教学成果奖或教学竞赛奖</w:t>
            </w:r>
            <w:r w:rsidRPr="00927E7B">
              <w:rPr>
                <w:rFonts w:ascii="仿宋" w:eastAsia="仿宋" w:hAnsi="仿宋" w:cs="Times New Roman" w:hint="eastAsia"/>
                <w:sz w:val="21"/>
                <w:szCs w:val="21"/>
              </w:rPr>
              <w:t>；</w:t>
            </w:r>
            <w:r w:rsidRPr="00927E7B">
              <w:rPr>
                <w:rFonts w:ascii="仿宋" w:eastAsia="仿宋" w:hAnsi="仿宋" w:cs="Times New Roman"/>
                <w:sz w:val="21"/>
                <w:szCs w:val="21"/>
              </w:rPr>
              <w:t>近三年至少主持并完成1项与本课程有关的省部级及以上教研立项项目</w:t>
            </w:r>
            <w:r w:rsidRPr="00927E7B">
              <w:rPr>
                <w:rFonts w:ascii="仿宋" w:eastAsia="仿宋" w:hAnsi="仿宋" w:cs="Times New Roman" w:hint="eastAsia"/>
                <w:sz w:val="21"/>
                <w:szCs w:val="21"/>
              </w:rPr>
              <w:t>；</w:t>
            </w:r>
            <w:r w:rsidRPr="00927E7B">
              <w:rPr>
                <w:rFonts w:ascii="仿宋" w:eastAsia="仿宋" w:hAnsi="仿宋" w:cs="Times New Roman"/>
                <w:sz w:val="21"/>
                <w:szCs w:val="21"/>
              </w:rPr>
              <w:t>教师指导学生参加与课程相关的学科竞赛获奖（按常州大学竞赛管理办法</w:t>
            </w:r>
            <w:r w:rsidRPr="00927E7B">
              <w:rPr>
                <w:rFonts w:ascii="仿宋" w:eastAsia="仿宋" w:hAnsi="仿宋" w:cs="Times New Roman"/>
                <w:sz w:val="21"/>
                <w:szCs w:val="21"/>
              </w:rPr>
              <w:fldChar w:fldCharType="begin"/>
            </w:r>
            <w:r w:rsidRPr="00927E7B">
              <w:rPr>
                <w:rFonts w:ascii="仿宋" w:eastAsia="仿宋" w:hAnsi="仿宋" w:cs="Times New Roman"/>
                <w:sz w:val="21"/>
                <w:szCs w:val="21"/>
              </w:rPr>
              <w:instrText xml:space="preserve"> </w:instrText>
            </w:r>
            <w:r w:rsidRPr="00927E7B">
              <w:rPr>
                <w:rFonts w:ascii="仿宋" w:eastAsia="仿宋" w:hAnsi="仿宋" w:cs="Times New Roman" w:hint="eastAsia"/>
                <w:sz w:val="21"/>
                <w:szCs w:val="21"/>
              </w:rPr>
              <w:instrText>= 1 \* ROMAN</w:instrText>
            </w:r>
            <w:r w:rsidRPr="00927E7B">
              <w:rPr>
                <w:rFonts w:ascii="仿宋" w:eastAsia="仿宋" w:hAnsi="仿宋" w:cs="Times New Roman"/>
                <w:sz w:val="21"/>
                <w:szCs w:val="21"/>
              </w:rPr>
              <w:instrText xml:space="preserve"> </w:instrText>
            </w:r>
            <w:r w:rsidRPr="00927E7B">
              <w:rPr>
                <w:rFonts w:ascii="仿宋" w:eastAsia="仿宋" w:hAnsi="仿宋" w:cs="Times New Roman"/>
                <w:sz w:val="21"/>
                <w:szCs w:val="21"/>
              </w:rPr>
              <w:fldChar w:fldCharType="separate"/>
            </w:r>
            <w:r w:rsidRPr="00927E7B">
              <w:rPr>
                <w:rFonts w:ascii="仿宋" w:eastAsia="仿宋" w:hAnsi="仿宋" w:cs="Times New Roman"/>
                <w:sz w:val="21"/>
                <w:szCs w:val="21"/>
              </w:rPr>
              <w:t>I</w:t>
            </w:r>
            <w:r w:rsidRPr="00927E7B">
              <w:rPr>
                <w:rFonts w:ascii="仿宋" w:eastAsia="仿宋" w:hAnsi="仿宋" w:cs="Times New Roman"/>
                <w:sz w:val="21"/>
                <w:szCs w:val="21"/>
              </w:rPr>
              <w:fldChar w:fldCharType="end"/>
            </w:r>
            <w:r w:rsidRPr="00927E7B">
              <w:rPr>
                <w:rFonts w:ascii="仿宋" w:eastAsia="仿宋" w:hAnsi="仿宋" w:cs="Times New Roman"/>
                <w:sz w:val="21"/>
                <w:szCs w:val="21"/>
              </w:rPr>
              <w:t>级）</w:t>
            </w:r>
            <w:r w:rsidRPr="00927E7B">
              <w:rPr>
                <w:rFonts w:ascii="仿宋" w:eastAsia="仿宋" w:hAnsi="仿宋" w:cs="Times New Roman" w:hint="eastAsia"/>
                <w:sz w:val="21"/>
                <w:szCs w:val="21"/>
              </w:rPr>
              <w:t>；</w:t>
            </w:r>
            <w:r w:rsidRPr="00927E7B">
              <w:rPr>
                <w:rFonts w:ascii="仿宋" w:eastAsia="仿宋" w:hAnsi="仿宋" w:cs="Times New Roman"/>
                <w:sz w:val="21"/>
                <w:szCs w:val="21"/>
              </w:rPr>
              <w:t>课程为省级以上（含）优质课程</w:t>
            </w:r>
            <w:r w:rsidRPr="00927E7B">
              <w:rPr>
                <w:rFonts w:ascii="仿宋" w:eastAsia="仿宋" w:hAnsi="仿宋" w:cs="Times New Roman" w:hint="eastAsia"/>
                <w:sz w:val="21"/>
                <w:szCs w:val="21"/>
              </w:rPr>
              <w:t>；</w:t>
            </w:r>
            <w:r w:rsidRPr="00927E7B">
              <w:rPr>
                <w:rFonts w:ascii="仿宋" w:eastAsia="仿宋" w:hAnsi="仿宋" w:cs="Times New Roman"/>
                <w:sz w:val="21"/>
                <w:szCs w:val="21"/>
              </w:rPr>
              <w:t>建成线下、线上、线上线下混合、虚拟仿真和社会实践等</w:t>
            </w:r>
            <w:r w:rsidRPr="00927E7B">
              <w:rPr>
                <w:rFonts w:ascii="仿宋" w:eastAsia="仿宋" w:hAnsi="仿宋" w:cs="Times New Roman" w:hint="eastAsia"/>
                <w:sz w:val="21"/>
                <w:szCs w:val="21"/>
              </w:rPr>
              <w:t>“</w:t>
            </w:r>
            <w:r w:rsidRPr="00927E7B">
              <w:rPr>
                <w:rFonts w:ascii="仿宋" w:eastAsia="仿宋" w:hAnsi="仿宋" w:cs="Times New Roman"/>
                <w:sz w:val="21"/>
                <w:szCs w:val="21"/>
              </w:rPr>
              <w:t>金课</w:t>
            </w:r>
            <w:r w:rsidRPr="00927E7B">
              <w:rPr>
                <w:rFonts w:ascii="仿宋" w:eastAsia="仿宋" w:hAnsi="仿宋" w:cs="Times New Roman" w:hint="eastAsia"/>
                <w:sz w:val="21"/>
                <w:szCs w:val="21"/>
              </w:rPr>
              <w:t>”；</w:t>
            </w:r>
            <w:r w:rsidRPr="00927E7B">
              <w:rPr>
                <w:rFonts w:ascii="仿宋" w:eastAsia="仿宋" w:hAnsi="仿宋" w:cs="Times New Roman"/>
                <w:sz w:val="21"/>
                <w:szCs w:val="21"/>
              </w:rPr>
              <w:t>课程改革创新在国内同类院校、省内同类高校和本校具有示范推广价值。</w:t>
            </w:r>
          </w:p>
        </w:tc>
        <w:tc>
          <w:tcPr>
            <w:tcW w:w="1597" w:type="pct"/>
            <w:vAlign w:val="center"/>
          </w:tcPr>
          <w:p w:rsidR="00C2069C" w:rsidRDefault="00D42AEC">
            <w:pPr>
              <w:spacing w:after="0" w:line="276" w:lineRule="auto"/>
              <w:jc w:val="both"/>
              <w:rPr>
                <w:rFonts w:ascii="仿宋" w:eastAsia="仿宋" w:hAnsi="仿宋" w:cs="Times New Roman"/>
                <w:sz w:val="21"/>
                <w:szCs w:val="21"/>
              </w:rPr>
            </w:pPr>
            <w:r>
              <w:rPr>
                <w:rFonts w:ascii="仿宋" w:eastAsia="仿宋" w:hAnsi="仿宋" w:cs="Times New Roman"/>
                <w:sz w:val="21"/>
                <w:szCs w:val="21"/>
              </w:rPr>
              <w:t>团队成员近两届获1项与本课程有关的校级二等教学成果奖或教学竞赛奖</w:t>
            </w:r>
            <w:r>
              <w:rPr>
                <w:rFonts w:ascii="仿宋" w:eastAsia="仿宋" w:hAnsi="仿宋" w:cs="Times New Roman" w:hint="eastAsia"/>
                <w:sz w:val="21"/>
                <w:szCs w:val="21"/>
              </w:rPr>
              <w:t>；</w:t>
            </w:r>
            <w:r>
              <w:rPr>
                <w:rFonts w:ascii="仿宋" w:eastAsia="仿宋" w:hAnsi="仿宋" w:cs="Times New Roman"/>
                <w:sz w:val="21"/>
                <w:szCs w:val="21"/>
              </w:rPr>
              <w:t>近三年至少主持并完成1项与本课程有关的校级教研立项项目</w:t>
            </w:r>
            <w:r>
              <w:rPr>
                <w:rFonts w:ascii="仿宋" w:eastAsia="仿宋" w:hAnsi="仿宋" w:cs="Times New Roman" w:hint="eastAsia"/>
                <w:sz w:val="21"/>
                <w:szCs w:val="21"/>
              </w:rPr>
              <w:t>；</w:t>
            </w:r>
            <w:r>
              <w:rPr>
                <w:rFonts w:ascii="仿宋" w:eastAsia="仿宋" w:hAnsi="仿宋" w:cs="Times New Roman"/>
                <w:sz w:val="21"/>
                <w:szCs w:val="21"/>
              </w:rPr>
              <w:t>近三年至少公开发表教研论文1篇</w:t>
            </w:r>
            <w:r>
              <w:rPr>
                <w:rFonts w:ascii="仿宋" w:eastAsia="仿宋" w:hAnsi="仿宋" w:cs="Times New Roman" w:hint="eastAsia"/>
                <w:sz w:val="21"/>
                <w:szCs w:val="21"/>
              </w:rPr>
              <w:t>；</w:t>
            </w:r>
            <w:r>
              <w:rPr>
                <w:rFonts w:ascii="仿宋" w:eastAsia="仿宋" w:hAnsi="仿宋" w:cs="Times New Roman"/>
                <w:sz w:val="21"/>
                <w:szCs w:val="21"/>
              </w:rPr>
              <w:t>教师指导学生参加与课程相关的学科竞赛获奖（按常州大学竞赛管理办法</w:t>
            </w:r>
            <w:r>
              <w:rPr>
                <w:rFonts w:ascii="仿宋" w:eastAsia="仿宋" w:hAnsi="仿宋" w:cs="Times New Roman"/>
                <w:sz w:val="21"/>
                <w:szCs w:val="21"/>
              </w:rPr>
              <w:fldChar w:fldCharType="begin"/>
            </w:r>
            <w:r>
              <w:rPr>
                <w:rFonts w:ascii="仿宋" w:eastAsia="仿宋" w:hAnsi="仿宋" w:cs="Times New Roman"/>
                <w:sz w:val="21"/>
                <w:szCs w:val="21"/>
              </w:rPr>
              <w:instrText xml:space="preserve"> </w:instrText>
            </w:r>
            <w:r>
              <w:rPr>
                <w:rFonts w:ascii="仿宋" w:eastAsia="仿宋" w:hAnsi="仿宋" w:cs="Times New Roman" w:hint="eastAsia"/>
                <w:sz w:val="21"/>
                <w:szCs w:val="21"/>
              </w:rPr>
              <w:instrText>= 3 \* ROMAN</w:instrText>
            </w:r>
            <w:r>
              <w:rPr>
                <w:rFonts w:ascii="仿宋" w:eastAsia="仿宋" w:hAnsi="仿宋" w:cs="Times New Roman"/>
                <w:sz w:val="21"/>
                <w:szCs w:val="21"/>
              </w:rPr>
              <w:instrText xml:space="preserve"> </w:instrText>
            </w:r>
            <w:r>
              <w:rPr>
                <w:rFonts w:ascii="仿宋" w:eastAsia="仿宋" w:hAnsi="仿宋" w:cs="Times New Roman"/>
                <w:sz w:val="21"/>
                <w:szCs w:val="21"/>
              </w:rPr>
              <w:fldChar w:fldCharType="separate"/>
            </w:r>
            <w:r>
              <w:rPr>
                <w:rFonts w:ascii="仿宋" w:eastAsia="仿宋" w:hAnsi="仿宋" w:cs="Times New Roman"/>
                <w:sz w:val="21"/>
                <w:szCs w:val="21"/>
              </w:rPr>
              <w:t>III</w:t>
            </w:r>
            <w:r>
              <w:rPr>
                <w:rFonts w:ascii="仿宋" w:eastAsia="仿宋" w:hAnsi="仿宋" w:cs="Times New Roman"/>
                <w:sz w:val="21"/>
                <w:szCs w:val="21"/>
              </w:rPr>
              <w:fldChar w:fldCharType="end"/>
            </w:r>
            <w:r>
              <w:rPr>
                <w:rFonts w:ascii="仿宋" w:eastAsia="仿宋" w:hAnsi="仿宋" w:cs="Times New Roman"/>
                <w:sz w:val="21"/>
                <w:szCs w:val="21"/>
              </w:rPr>
              <w:t>级）</w:t>
            </w:r>
            <w:r>
              <w:rPr>
                <w:rFonts w:ascii="仿宋" w:eastAsia="仿宋" w:hAnsi="仿宋" w:cs="Times New Roman" w:hint="eastAsia"/>
                <w:sz w:val="21"/>
                <w:szCs w:val="21"/>
              </w:rPr>
              <w:t>；</w:t>
            </w:r>
            <w:r>
              <w:rPr>
                <w:rFonts w:ascii="仿宋" w:eastAsia="仿宋" w:hAnsi="仿宋" w:cs="Times New Roman"/>
                <w:sz w:val="21"/>
                <w:szCs w:val="21"/>
              </w:rPr>
              <w:t>课程为校级优质课程</w:t>
            </w:r>
            <w:r>
              <w:rPr>
                <w:rFonts w:ascii="仿宋" w:eastAsia="仿宋" w:hAnsi="仿宋" w:cs="Times New Roman" w:hint="eastAsia"/>
                <w:sz w:val="21"/>
                <w:szCs w:val="21"/>
              </w:rPr>
              <w:t>；</w:t>
            </w:r>
            <w:r>
              <w:rPr>
                <w:rFonts w:ascii="仿宋" w:eastAsia="仿宋" w:hAnsi="仿宋" w:cs="Times New Roman"/>
                <w:sz w:val="21"/>
                <w:szCs w:val="21"/>
              </w:rPr>
              <w:t>着手建设“金课”</w:t>
            </w:r>
            <w:r>
              <w:rPr>
                <w:rFonts w:ascii="仿宋" w:eastAsia="仿宋" w:hAnsi="仿宋" w:cs="Times New Roman" w:hint="eastAsia"/>
                <w:sz w:val="21"/>
                <w:szCs w:val="21"/>
              </w:rPr>
              <w:t>；</w:t>
            </w:r>
            <w:r>
              <w:rPr>
                <w:rFonts w:ascii="仿宋" w:eastAsia="仿宋" w:hAnsi="仿宋" w:cs="Times New Roman"/>
                <w:sz w:val="21"/>
                <w:szCs w:val="21"/>
              </w:rPr>
              <w:t>课程改革有一定的思路和举措，</w:t>
            </w:r>
            <w:r>
              <w:rPr>
                <w:rFonts w:ascii="仿宋" w:eastAsia="仿宋" w:hAnsi="仿宋" w:cs="Times New Roman" w:hint="eastAsia"/>
                <w:sz w:val="21"/>
                <w:szCs w:val="21"/>
              </w:rPr>
              <w:t>并</w:t>
            </w:r>
            <w:r>
              <w:rPr>
                <w:rFonts w:ascii="仿宋" w:eastAsia="仿宋" w:hAnsi="仿宋" w:cs="Times New Roman"/>
                <w:sz w:val="21"/>
                <w:szCs w:val="21"/>
              </w:rPr>
              <w:t>取得</w:t>
            </w:r>
            <w:r>
              <w:rPr>
                <w:rFonts w:ascii="仿宋" w:eastAsia="仿宋" w:hAnsi="仿宋" w:cs="Times New Roman" w:hint="eastAsia"/>
                <w:sz w:val="21"/>
                <w:szCs w:val="21"/>
              </w:rPr>
              <w:t>初步</w:t>
            </w:r>
            <w:r>
              <w:rPr>
                <w:rFonts w:ascii="仿宋" w:eastAsia="仿宋" w:hAnsi="仿宋" w:cs="Times New Roman"/>
                <w:sz w:val="21"/>
                <w:szCs w:val="21"/>
              </w:rPr>
              <w:t>效果。</w:t>
            </w:r>
          </w:p>
        </w:tc>
      </w:tr>
      <w:tr w:rsidR="00C2069C" w:rsidTr="0006467B">
        <w:trPr>
          <w:cantSplit/>
          <w:trHeight w:val="406"/>
        </w:trPr>
        <w:tc>
          <w:tcPr>
            <w:tcW w:w="456" w:type="pct"/>
            <w:vMerge w:val="restart"/>
            <w:vAlign w:val="center"/>
          </w:tcPr>
          <w:p w:rsidR="00C2069C" w:rsidRPr="00927E7B" w:rsidRDefault="00C2069C">
            <w:pPr>
              <w:spacing w:after="0"/>
              <w:rPr>
                <w:rFonts w:ascii="仿宋" w:eastAsia="仿宋" w:hAnsi="仿宋" w:cs="Times New Roman"/>
                <w:sz w:val="21"/>
                <w:szCs w:val="21"/>
              </w:rPr>
            </w:pPr>
          </w:p>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hint="eastAsia"/>
                <w:sz w:val="21"/>
                <w:szCs w:val="21"/>
              </w:rPr>
              <w:t>5.持续</w:t>
            </w:r>
            <w:r w:rsidRPr="00927E7B">
              <w:rPr>
                <w:rFonts w:ascii="仿宋" w:eastAsia="仿宋" w:hAnsi="仿宋" w:cs="Times New Roman"/>
                <w:sz w:val="21"/>
                <w:szCs w:val="21"/>
              </w:rPr>
              <w:t>改进</w:t>
            </w:r>
          </w:p>
          <w:p w:rsidR="00C2069C" w:rsidRPr="00927E7B" w:rsidRDefault="00D42AEC">
            <w:pPr>
              <w:spacing w:after="0"/>
              <w:rPr>
                <w:rFonts w:ascii="仿宋" w:eastAsia="仿宋" w:hAnsi="仿宋" w:cs="Times New Roman"/>
                <w:sz w:val="21"/>
                <w:szCs w:val="21"/>
              </w:rPr>
            </w:pPr>
            <w:r w:rsidRPr="00927E7B">
              <w:rPr>
                <w:rFonts w:ascii="仿宋" w:eastAsia="仿宋" w:hAnsi="仿宋" w:cs="Times New Roman" w:hint="eastAsia"/>
                <w:sz w:val="21"/>
                <w:szCs w:val="21"/>
              </w:rPr>
              <w:t xml:space="preserve">   </w:t>
            </w:r>
          </w:p>
        </w:tc>
        <w:tc>
          <w:tcPr>
            <w:tcW w:w="864" w:type="pct"/>
            <w:vAlign w:val="center"/>
          </w:tcPr>
          <w:p w:rsidR="00C2069C" w:rsidRPr="00927E7B" w:rsidRDefault="00D42AEC">
            <w:pPr>
              <w:tabs>
                <w:tab w:val="left" w:pos="312"/>
              </w:tabs>
              <w:autoSpaceDE w:val="0"/>
              <w:autoSpaceDN w:val="0"/>
              <w:spacing w:after="0"/>
              <w:rPr>
                <w:rFonts w:ascii="仿宋" w:eastAsia="仿宋" w:hAnsi="仿宋" w:cs="Times New Roman"/>
                <w:sz w:val="21"/>
                <w:szCs w:val="21"/>
              </w:rPr>
            </w:pPr>
            <w:r w:rsidRPr="00927E7B">
              <w:rPr>
                <w:rFonts w:ascii="仿宋" w:eastAsia="仿宋" w:hAnsi="仿宋" w:cs="Times New Roman" w:hint="eastAsia"/>
                <w:bCs/>
                <w:sz w:val="21"/>
                <w:szCs w:val="21"/>
              </w:rPr>
              <w:t>5.1 课程质量</w:t>
            </w:r>
            <w:r w:rsidRPr="00927E7B">
              <w:rPr>
                <w:rFonts w:ascii="仿宋" w:eastAsia="仿宋" w:hAnsi="仿宋" w:cs="Times New Roman"/>
                <w:bCs/>
                <w:sz w:val="21"/>
                <w:szCs w:val="21"/>
              </w:rPr>
              <w:t>自我评价机制及</w:t>
            </w:r>
            <w:r w:rsidRPr="00927E7B">
              <w:rPr>
                <w:rFonts w:ascii="仿宋" w:eastAsia="仿宋" w:hAnsi="仿宋" w:cs="Times New Roman" w:hint="eastAsia"/>
                <w:bCs/>
                <w:sz w:val="21"/>
                <w:szCs w:val="21"/>
              </w:rPr>
              <w:t>实施</w:t>
            </w:r>
            <w:r w:rsidRPr="00927E7B">
              <w:rPr>
                <w:rFonts w:ascii="仿宋" w:eastAsia="仿宋" w:hAnsi="仿宋" w:cs="Times New Roman"/>
                <w:bCs/>
                <w:sz w:val="21"/>
                <w:szCs w:val="21"/>
              </w:rPr>
              <w:t>情况</w:t>
            </w:r>
            <w:r w:rsidRPr="00927E7B">
              <w:rPr>
                <w:rFonts w:ascii="仿宋" w:eastAsia="仿宋" w:hAnsi="仿宋" w:cs="Times New Roman" w:hint="eastAsia"/>
                <w:bCs/>
                <w:sz w:val="21"/>
                <w:szCs w:val="21"/>
              </w:rPr>
              <w:t xml:space="preserve"> </w:t>
            </w:r>
            <w:r w:rsidRPr="00927E7B">
              <w:rPr>
                <w:rFonts w:ascii="仿宋" w:eastAsia="仿宋" w:hAnsi="仿宋" w:cs="Times New Roman"/>
                <w:bCs/>
                <w:sz w:val="21"/>
                <w:szCs w:val="21"/>
              </w:rPr>
              <w:t xml:space="preserve"> </w:t>
            </w:r>
          </w:p>
        </w:tc>
        <w:tc>
          <w:tcPr>
            <w:tcW w:w="2083" w:type="pct"/>
            <w:vAlign w:val="center"/>
          </w:tcPr>
          <w:p w:rsidR="00C2069C" w:rsidRPr="00927E7B" w:rsidRDefault="00D42AEC">
            <w:pPr>
              <w:spacing w:after="0" w:line="276" w:lineRule="auto"/>
              <w:jc w:val="both"/>
              <w:rPr>
                <w:rFonts w:ascii="仿宋" w:eastAsia="仿宋" w:hAnsi="仿宋" w:cs="仿宋"/>
                <w:sz w:val="21"/>
                <w:szCs w:val="21"/>
                <w:lang w:bidi="ar"/>
              </w:rPr>
            </w:pPr>
            <w:r w:rsidRPr="00927E7B">
              <w:rPr>
                <w:rFonts w:ascii="仿宋" w:eastAsia="仿宋" w:hAnsi="仿宋" w:cs="Times New Roman"/>
                <w:sz w:val="21"/>
                <w:szCs w:val="21"/>
              </w:rPr>
              <w:t>建立完善的</w:t>
            </w:r>
            <w:r w:rsidRPr="00927E7B">
              <w:rPr>
                <w:rFonts w:ascii="仿宋" w:eastAsia="仿宋" w:hAnsi="仿宋" w:cs="Times New Roman" w:hint="eastAsia"/>
                <w:sz w:val="21"/>
                <w:szCs w:val="21"/>
              </w:rPr>
              <w:t>课程</w:t>
            </w:r>
            <w:r w:rsidRPr="00927E7B">
              <w:rPr>
                <w:rFonts w:ascii="仿宋" w:eastAsia="仿宋" w:hAnsi="仿宋" w:cs="仿宋" w:hint="eastAsia"/>
                <w:sz w:val="21"/>
                <w:szCs w:val="21"/>
                <w:lang w:bidi="ar"/>
              </w:rPr>
              <w:t>质量</w:t>
            </w:r>
            <w:r w:rsidRPr="00927E7B">
              <w:rPr>
                <w:rFonts w:ascii="仿宋" w:eastAsia="仿宋" w:hAnsi="仿宋" w:cs="Times New Roman" w:hint="eastAsia"/>
                <w:sz w:val="21"/>
                <w:szCs w:val="21"/>
              </w:rPr>
              <w:t>自我</w:t>
            </w:r>
            <w:r w:rsidRPr="00927E7B">
              <w:rPr>
                <w:rFonts w:ascii="仿宋" w:eastAsia="仿宋" w:hAnsi="仿宋" w:cs="Times New Roman"/>
                <w:sz w:val="21"/>
                <w:szCs w:val="21"/>
              </w:rPr>
              <w:t>评价机制，</w:t>
            </w:r>
            <w:r w:rsidRPr="00927E7B">
              <w:rPr>
                <w:rFonts w:ascii="仿宋" w:eastAsia="仿宋" w:hAnsi="仿宋" w:cs="仿宋" w:hint="eastAsia"/>
                <w:sz w:val="21"/>
                <w:szCs w:val="21"/>
                <w:lang w:bidi="ar"/>
              </w:rPr>
              <w:t>定期评价课程目标达成情况；</w:t>
            </w:r>
            <w:r w:rsidRPr="00927E7B">
              <w:rPr>
                <w:rFonts w:ascii="仿宋" w:eastAsia="仿宋" w:hAnsi="仿宋" w:cs="Times New Roman" w:hint="eastAsia"/>
                <w:sz w:val="21"/>
                <w:szCs w:val="21"/>
              </w:rPr>
              <w:t>评价报告中包含</w:t>
            </w:r>
            <w:r w:rsidRPr="00927E7B">
              <w:rPr>
                <w:rFonts w:ascii="仿宋" w:eastAsia="仿宋" w:hAnsi="仿宋" w:cs="仿宋" w:hint="eastAsia"/>
                <w:sz w:val="21"/>
                <w:szCs w:val="21"/>
                <w:lang w:bidi="ar"/>
              </w:rPr>
              <w:t>短板分析和具体的持续改进措施，以及</w:t>
            </w:r>
            <w:r w:rsidRPr="00927E7B">
              <w:rPr>
                <w:rFonts w:ascii="仿宋" w:eastAsia="仿宋" w:hAnsi="仿宋" w:cs="Times New Roman" w:hint="eastAsia"/>
                <w:sz w:val="21"/>
                <w:szCs w:val="21"/>
              </w:rPr>
              <w:t>上一次评价的改进措施实施进展和效果分析。</w:t>
            </w:r>
          </w:p>
        </w:tc>
        <w:tc>
          <w:tcPr>
            <w:tcW w:w="1597" w:type="pct"/>
            <w:vAlign w:val="center"/>
          </w:tcPr>
          <w:p w:rsidR="00C2069C" w:rsidRDefault="00D42AEC">
            <w:pPr>
              <w:spacing w:after="0" w:line="276" w:lineRule="auto"/>
              <w:jc w:val="both"/>
              <w:rPr>
                <w:rFonts w:ascii="仿宋" w:eastAsia="仿宋" w:hAnsi="仿宋" w:cs="Times New Roman"/>
                <w:sz w:val="21"/>
                <w:szCs w:val="21"/>
              </w:rPr>
            </w:pPr>
            <w:r>
              <w:rPr>
                <w:rFonts w:ascii="仿宋" w:eastAsia="仿宋" w:hAnsi="仿宋" w:cs="Times New Roman"/>
                <w:sz w:val="21"/>
                <w:szCs w:val="21"/>
              </w:rPr>
              <w:t>建立</w:t>
            </w:r>
            <w:r>
              <w:rPr>
                <w:rFonts w:ascii="仿宋" w:eastAsia="仿宋" w:hAnsi="仿宋" w:cs="Times New Roman" w:hint="eastAsia"/>
                <w:sz w:val="21"/>
                <w:szCs w:val="21"/>
              </w:rPr>
              <w:t>并实施课程质量自我评价机制</w:t>
            </w:r>
            <w:r>
              <w:rPr>
                <w:rFonts w:ascii="仿宋" w:eastAsia="仿宋" w:hAnsi="仿宋" w:cs="Times New Roman"/>
                <w:sz w:val="21"/>
                <w:szCs w:val="21"/>
              </w:rPr>
              <w:t>，</w:t>
            </w:r>
            <w:r>
              <w:rPr>
                <w:rFonts w:ascii="仿宋" w:eastAsia="仿宋" w:hAnsi="仿宋" w:cs="Times New Roman" w:hint="eastAsia"/>
                <w:sz w:val="21"/>
                <w:szCs w:val="21"/>
              </w:rPr>
              <w:t>有持续改进措施</w:t>
            </w:r>
            <w:r>
              <w:rPr>
                <w:rFonts w:ascii="仿宋" w:eastAsia="仿宋" w:hAnsi="仿宋" w:cs="Times New Roman"/>
                <w:sz w:val="21"/>
                <w:szCs w:val="21"/>
              </w:rPr>
              <w:t>。</w:t>
            </w:r>
          </w:p>
        </w:tc>
      </w:tr>
      <w:tr w:rsidR="00C2069C" w:rsidTr="0006467B">
        <w:trPr>
          <w:cantSplit/>
          <w:trHeight w:val="515"/>
        </w:trPr>
        <w:tc>
          <w:tcPr>
            <w:tcW w:w="456" w:type="pct"/>
            <w:vMerge/>
            <w:vAlign w:val="center"/>
          </w:tcPr>
          <w:p w:rsidR="00C2069C" w:rsidRDefault="00C2069C">
            <w:pPr>
              <w:spacing w:after="0"/>
              <w:rPr>
                <w:rFonts w:ascii="仿宋" w:eastAsia="仿宋" w:hAnsi="仿宋" w:cs="Times New Roman"/>
                <w:sz w:val="21"/>
                <w:szCs w:val="21"/>
              </w:rPr>
            </w:pPr>
          </w:p>
        </w:tc>
        <w:tc>
          <w:tcPr>
            <w:tcW w:w="864" w:type="pct"/>
            <w:vAlign w:val="center"/>
          </w:tcPr>
          <w:p w:rsidR="00C2069C" w:rsidRDefault="00D42AEC">
            <w:pPr>
              <w:tabs>
                <w:tab w:val="left" w:pos="312"/>
              </w:tabs>
              <w:autoSpaceDE w:val="0"/>
              <w:autoSpaceDN w:val="0"/>
              <w:spacing w:after="0"/>
              <w:rPr>
                <w:rFonts w:ascii="仿宋" w:eastAsia="仿宋" w:hAnsi="仿宋" w:cs="Times New Roman"/>
                <w:sz w:val="21"/>
                <w:szCs w:val="21"/>
              </w:rPr>
            </w:pPr>
            <w:r>
              <w:rPr>
                <w:rFonts w:ascii="仿宋" w:eastAsia="仿宋" w:hAnsi="仿宋" w:cs="Times New Roman" w:hint="eastAsia"/>
                <w:sz w:val="21"/>
                <w:szCs w:val="21"/>
              </w:rPr>
              <w:t>5.2 学生学习成效评价</w:t>
            </w:r>
          </w:p>
        </w:tc>
        <w:tc>
          <w:tcPr>
            <w:tcW w:w="2083" w:type="pct"/>
            <w:vAlign w:val="center"/>
          </w:tcPr>
          <w:p w:rsidR="00C2069C" w:rsidRDefault="00D42AEC">
            <w:pPr>
              <w:spacing w:after="0" w:line="276" w:lineRule="auto"/>
              <w:rPr>
                <w:rFonts w:ascii="仿宋" w:eastAsia="仿宋" w:hAnsi="仿宋" w:cs="Times New Roman"/>
                <w:sz w:val="21"/>
                <w:szCs w:val="21"/>
              </w:rPr>
            </w:pPr>
            <w:r>
              <w:rPr>
                <w:rFonts w:ascii="仿宋" w:eastAsia="仿宋" w:hAnsi="仿宋" w:cs="Times New Roman" w:hint="eastAsia"/>
                <w:sz w:val="21"/>
                <w:szCs w:val="21"/>
              </w:rPr>
              <w:t>评价</w:t>
            </w:r>
            <w:r>
              <w:rPr>
                <w:rFonts w:ascii="仿宋" w:eastAsia="仿宋" w:hAnsi="仿宋" w:cs="Times New Roman"/>
                <w:sz w:val="21"/>
                <w:szCs w:val="21"/>
              </w:rPr>
              <w:t>优秀，</w:t>
            </w:r>
            <w:r>
              <w:rPr>
                <w:rFonts w:ascii="仿宋" w:eastAsia="仿宋" w:hAnsi="仿宋" w:cs="Times New Roman" w:hint="eastAsia"/>
                <w:sz w:val="21"/>
                <w:szCs w:val="21"/>
              </w:rPr>
              <w:t>该课程</w:t>
            </w:r>
            <w:r>
              <w:rPr>
                <w:rFonts w:ascii="仿宋" w:eastAsia="仿宋" w:hAnsi="仿宋" w:cs="Times New Roman"/>
                <w:sz w:val="21"/>
                <w:szCs w:val="21"/>
              </w:rPr>
              <w:t>的</w:t>
            </w:r>
            <w:r>
              <w:rPr>
                <w:rFonts w:ascii="仿宋" w:eastAsia="仿宋" w:hAnsi="仿宋" w:cs="Times New Roman" w:hint="eastAsia"/>
                <w:sz w:val="21"/>
                <w:szCs w:val="21"/>
              </w:rPr>
              <w:t>评价</w:t>
            </w:r>
            <w:r>
              <w:rPr>
                <w:rFonts w:ascii="仿宋" w:eastAsia="仿宋" w:hAnsi="仿宋" w:cs="Times New Roman"/>
                <w:sz w:val="21"/>
                <w:szCs w:val="21"/>
              </w:rPr>
              <w:t>成绩在全校排名前1/3。</w:t>
            </w:r>
          </w:p>
        </w:tc>
        <w:tc>
          <w:tcPr>
            <w:tcW w:w="1597" w:type="pct"/>
            <w:vAlign w:val="center"/>
          </w:tcPr>
          <w:p w:rsidR="00C2069C" w:rsidRDefault="00D42AEC">
            <w:pPr>
              <w:autoSpaceDE w:val="0"/>
              <w:autoSpaceDN w:val="0"/>
              <w:spacing w:after="0" w:line="276" w:lineRule="auto"/>
              <w:rPr>
                <w:rFonts w:ascii="仿宋" w:eastAsia="仿宋" w:hAnsi="仿宋" w:cs="Times New Roman"/>
                <w:sz w:val="21"/>
                <w:szCs w:val="21"/>
              </w:rPr>
            </w:pPr>
            <w:r>
              <w:rPr>
                <w:rFonts w:ascii="仿宋" w:eastAsia="仿宋" w:hAnsi="仿宋" w:cs="Times New Roman" w:hint="eastAsia"/>
                <w:sz w:val="21"/>
                <w:szCs w:val="21"/>
              </w:rPr>
              <w:t>该课程</w:t>
            </w:r>
            <w:r>
              <w:rPr>
                <w:rFonts w:ascii="仿宋" w:eastAsia="仿宋" w:hAnsi="仿宋" w:cs="Times New Roman"/>
                <w:sz w:val="21"/>
                <w:szCs w:val="21"/>
              </w:rPr>
              <w:t>的</w:t>
            </w:r>
            <w:r>
              <w:rPr>
                <w:rFonts w:ascii="仿宋" w:eastAsia="仿宋" w:hAnsi="仿宋" w:cs="Times New Roman" w:hint="eastAsia"/>
                <w:sz w:val="21"/>
                <w:szCs w:val="21"/>
              </w:rPr>
              <w:t>评价</w:t>
            </w:r>
            <w:r>
              <w:rPr>
                <w:rFonts w:ascii="仿宋" w:eastAsia="仿宋" w:hAnsi="仿宋" w:cs="Times New Roman"/>
                <w:sz w:val="21"/>
                <w:szCs w:val="21"/>
              </w:rPr>
              <w:t>成绩在全校排名</w:t>
            </w:r>
            <w:r>
              <w:rPr>
                <w:rFonts w:ascii="仿宋" w:eastAsia="仿宋" w:hAnsi="仿宋" w:cs="Times New Roman" w:hint="eastAsia"/>
                <w:sz w:val="21"/>
                <w:szCs w:val="21"/>
              </w:rPr>
              <w:t>前1/2至前2/3</w:t>
            </w:r>
            <w:r>
              <w:rPr>
                <w:rFonts w:ascii="仿宋" w:eastAsia="仿宋" w:hAnsi="仿宋" w:cs="Times New Roman"/>
                <w:sz w:val="21"/>
                <w:szCs w:val="21"/>
              </w:rPr>
              <w:t>。</w:t>
            </w:r>
          </w:p>
        </w:tc>
      </w:tr>
      <w:tr w:rsidR="00C2069C" w:rsidTr="0006467B">
        <w:trPr>
          <w:cantSplit/>
          <w:trHeight w:val="549"/>
        </w:trPr>
        <w:tc>
          <w:tcPr>
            <w:tcW w:w="456" w:type="pct"/>
            <w:vMerge/>
            <w:vAlign w:val="center"/>
          </w:tcPr>
          <w:p w:rsidR="00C2069C" w:rsidRDefault="00C2069C">
            <w:pPr>
              <w:spacing w:after="0"/>
              <w:rPr>
                <w:rFonts w:ascii="仿宋" w:eastAsia="仿宋" w:hAnsi="仿宋" w:cs="Times New Roman"/>
                <w:sz w:val="21"/>
                <w:szCs w:val="21"/>
              </w:rPr>
            </w:pPr>
          </w:p>
        </w:tc>
        <w:tc>
          <w:tcPr>
            <w:tcW w:w="864" w:type="pct"/>
            <w:vAlign w:val="center"/>
          </w:tcPr>
          <w:p w:rsidR="00C2069C" w:rsidRDefault="00D42AEC">
            <w:pPr>
              <w:autoSpaceDE w:val="0"/>
              <w:autoSpaceDN w:val="0"/>
              <w:spacing w:after="0"/>
              <w:rPr>
                <w:rFonts w:ascii="仿宋" w:eastAsia="仿宋" w:hAnsi="仿宋" w:cs="Times New Roman"/>
                <w:sz w:val="21"/>
                <w:szCs w:val="21"/>
              </w:rPr>
            </w:pPr>
            <w:r>
              <w:rPr>
                <w:rFonts w:ascii="仿宋" w:eastAsia="仿宋" w:hAnsi="仿宋" w:cs="Times New Roman" w:hint="eastAsia"/>
                <w:sz w:val="21"/>
                <w:szCs w:val="21"/>
              </w:rPr>
              <w:t xml:space="preserve">5.3 </w:t>
            </w:r>
            <w:r>
              <w:rPr>
                <w:rFonts w:ascii="仿宋" w:eastAsia="仿宋" w:hAnsi="仿宋" w:cs="Times New Roman"/>
                <w:sz w:val="21"/>
                <w:szCs w:val="21"/>
              </w:rPr>
              <w:t>专家</w:t>
            </w:r>
            <w:r>
              <w:rPr>
                <w:rFonts w:ascii="仿宋" w:eastAsia="仿宋" w:hAnsi="仿宋" w:cs="Times New Roman" w:hint="eastAsia"/>
                <w:sz w:val="21"/>
                <w:szCs w:val="21"/>
              </w:rPr>
              <w:t>同行</w:t>
            </w:r>
            <w:r>
              <w:rPr>
                <w:rFonts w:ascii="仿宋" w:eastAsia="仿宋" w:hAnsi="仿宋" w:cs="Times New Roman"/>
                <w:sz w:val="21"/>
                <w:szCs w:val="21"/>
              </w:rPr>
              <w:t>评价</w:t>
            </w:r>
          </w:p>
        </w:tc>
        <w:tc>
          <w:tcPr>
            <w:tcW w:w="2083" w:type="pct"/>
            <w:vAlign w:val="center"/>
          </w:tcPr>
          <w:p w:rsidR="00C2069C" w:rsidRDefault="00D42AEC">
            <w:pPr>
              <w:autoSpaceDE w:val="0"/>
              <w:autoSpaceDN w:val="0"/>
              <w:spacing w:after="0" w:line="276" w:lineRule="auto"/>
              <w:rPr>
                <w:rFonts w:ascii="仿宋" w:eastAsia="仿宋" w:hAnsi="仿宋" w:cs="Times New Roman"/>
                <w:sz w:val="21"/>
                <w:szCs w:val="21"/>
              </w:rPr>
            </w:pPr>
            <w:r>
              <w:rPr>
                <w:rFonts w:ascii="仿宋" w:eastAsia="仿宋" w:hAnsi="仿宋" w:cs="Times New Roman" w:hint="eastAsia"/>
                <w:sz w:val="21"/>
                <w:szCs w:val="21"/>
              </w:rPr>
              <w:t>评价</w:t>
            </w:r>
            <w:r>
              <w:rPr>
                <w:rFonts w:ascii="仿宋" w:eastAsia="仿宋" w:hAnsi="仿宋" w:cs="Times New Roman"/>
                <w:sz w:val="21"/>
                <w:szCs w:val="21"/>
              </w:rPr>
              <w:t>优秀，</w:t>
            </w:r>
            <w:r>
              <w:rPr>
                <w:rFonts w:ascii="仿宋" w:eastAsia="仿宋" w:hAnsi="仿宋" w:cs="Times New Roman" w:hint="eastAsia"/>
                <w:sz w:val="21"/>
                <w:szCs w:val="21"/>
              </w:rPr>
              <w:t>该课程</w:t>
            </w:r>
            <w:r>
              <w:rPr>
                <w:rFonts w:ascii="仿宋" w:eastAsia="仿宋" w:hAnsi="仿宋" w:cs="Times New Roman"/>
                <w:sz w:val="21"/>
                <w:szCs w:val="21"/>
              </w:rPr>
              <w:t>的</w:t>
            </w:r>
            <w:r>
              <w:rPr>
                <w:rFonts w:ascii="仿宋" w:eastAsia="仿宋" w:hAnsi="仿宋" w:cs="Times New Roman" w:hint="eastAsia"/>
                <w:sz w:val="21"/>
                <w:szCs w:val="21"/>
              </w:rPr>
              <w:t>评价成绩</w:t>
            </w:r>
            <w:r>
              <w:rPr>
                <w:rFonts w:ascii="仿宋" w:eastAsia="仿宋" w:hAnsi="仿宋" w:cs="Times New Roman"/>
                <w:sz w:val="21"/>
                <w:szCs w:val="21"/>
              </w:rPr>
              <w:t>在全校排名前1/3。</w:t>
            </w:r>
          </w:p>
        </w:tc>
        <w:tc>
          <w:tcPr>
            <w:tcW w:w="1597" w:type="pct"/>
            <w:vAlign w:val="center"/>
          </w:tcPr>
          <w:p w:rsidR="00C2069C" w:rsidRDefault="00D42AEC">
            <w:pPr>
              <w:autoSpaceDE w:val="0"/>
              <w:autoSpaceDN w:val="0"/>
              <w:spacing w:after="0" w:line="276" w:lineRule="auto"/>
              <w:rPr>
                <w:rFonts w:ascii="仿宋" w:eastAsia="仿宋" w:hAnsi="仿宋" w:cs="Times New Roman"/>
                <w:sz w:val="21"/>
                <w:szCs w:val="21"/>
              </w:rPr>
            </w:pPr>
            <w:r>
              <w:rPr>
                <w:rFonts w:ascii="仿宋" w:eastAsia="仿宋" w:hAnsi="仿宋" w:cs="Times New Roman" w:hint="eastAsia"/>
                <w:sz w:val="21"/>
                <w:szCs w:val="21"/>
              </w:rPr>
              <w:t>该课程</w:t>
            </w:r>
            <w:r>
              <w:rPr>
                <w:rFonts w:ascii="仿宋" w:eastAsia="仿宋" w:hAnsi="仿宋" w:cs="Times New Roman"/>
                <w:sz w:val="21"/>
                <w:szCs w:val="21"/>
              </w:rPr>
              <w:t>的</w:t>
            </w:r>
            <w:r>
              <w:rPr>
                <w:rFonts w:ascii="仿宋" w:eastAsia="仿宋" w:hAnsi="仿宋" w:cs="Times New Roman" w:hint="eastAsia"/>
                <w:sz w:val="21"/>
                <w:szCs w:val="21"/>
              </w:rPr>
              <w:t>评价</w:t>
            </w:r>
            <w:r>
              <w:rPr>
                <w:rFonts w:ascii="仿宋" w:eastAsia="仿宋" w:hAnsi="仿宋" w:cs="Times New Roman"/>
                <w:sz w:val="21"/>
                <w:szCs w:val="21"/>
              </w:rPr>
              <w:t>成绩在全校排名</w:t>
            </w:r>
            <w:r>
              <w:rPr>
                <w:rFonts w:ascii="仿宋" w:eastAsia="仿宋" w:hAnsi="仿宋" w:cs="Times New Roman" w:hint="eastAsia"/>
                <w:sz w:val="21"/>
                <w:szCs w:val="21"/>
              </w:rPr>
              <w:t>前1/2至前2/3</w:t>
            </w:r>
            <w:r>
              <w:rPr>
                <w:rFonts w:ascii="仿宋" w:eastAsia="仿宋" w:hAnsi="仿宋" w:cs="Times New Roman"/>
                <w:sz w:val="21"/>
                <w:szCs w:val="21"/>
              </w:rPr>
              <w:t>。</w:t>
            </w:r>
          </w:p>
        </w:tc>
      </w:tr>
    </w:tbl>
    <w:p w:rsidR="00C2069C" w:rsidRDefault="00C2069C"/>
    <w:p w:rsidR="00C2069C" w:rsidRDefault="00D42AEC">
      <w:r>
        <w:rPr>
          <w:rFonts w:hint="eastAsia"/>
        </w:rPr>
        <w:t>说明：</w:t>
      </w:r>
    </w:p>
    <w:p w:rsidR="00C2069C" w:rsidRDefault="00D42AEC">
      <w:pPr>
        <w:spacing w:after="0" w:line="360" w:lineRule="auto"/>
        <w:ind w:firstLineChars="200" w:firstLine="480"/>
        <w:rPr>
          <w:rFonts w:ascii="仿宋" w:eastAsia="仿宋" w:hAnsi="仿宋"/>
          <w:sz w:val="24"/>
          <w:szCs w:val="24"/>
        </w:rPr>
      </w:pPr>
      <w:r>
        <w:rPr>
          <w:rFonts w:ascii="仿宋" w:eastAsia="仿宋" w:hAnsi="仿宋" w:hint="eastAsia"/>
          <w:sz w:val="24"/>
          <w:szCs w:val="24"/>
        </w:rPr>
        <w:t>二级指标的评估等级分为A、B、C、D四级，评分标准给出A、C两级，介于A、C级之间的为B级，低于C级的为D级。</w:t>
      </w:r>
    </w:p>
    <w:p w:rsidR="00C2069C" w:rsidRDefault="00C2069C"/>
    <w:sectPr w:rsidR="00C2069C" w:rsidSect="00347D6B">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532" w:rsidRDefault="004D2532">
      <w:pPr>
        <w:spacing w:after="0"/>
      </w:pPr>
      <w:r>
        <w:separator/>
      </w:r>
    </w:p>
  </w:endnote>
  <w:endnote w:type="continuationSeparator" w:id="0">
    <w:p w:rsidR="004D2532" w:rsidRDefault="004D25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532" w:rsidRDefault="004D2532">
      <w:pPr>
        <w:spacing w:after="0"/>
      </w:pPr>
      <w:r>
        <w:separator/>
      </w:r>
    </w:p>
  </w:footnote>
  <w:footnote w:type="continuationSeparator" w:id="0">
    <w:p w:rsidR="004D2532" w:rsidRDefault="004D253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B04E9"/>
    <w:multiLevelType w:val="multilevel"/>
    <w:tmpl w:val="64CB04E9"/>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9F"/>
    <w:rsid w:val="00017ED7"/>
    <w:rsid w:val="00030C9D"/>
    <w:rsid w:val="0003567B"/>
    <w:rsid w:val="000531E5"/>
    <w:rsid w:val="00060845"/>
    <w:rsid w:val="0006467B"/>
    <w:rsid w:val="000A2F01"/>
    <w:rsid w:val="000A3061"/>
    <w:rsid w:val="000E0BAC"/>
    <w:rsid w:val="000F60E2"/>
    <w:rsid w:val="000F7102"/>
    <w:rsid w:val="0010107F"/>
    <w:rsid w:val="00114EB4"/>
    <w:rsid w:val="00123875"/>
    <w:rsid w:val="00141742"/>
    <w:rsid w:val="00145BA3"/>
    <w:rsid w:val="00155607"/>
    <w:rsid w:val="00175E22"/>
    <w:rsid w:val="001A65EE"/>
    <w:rsid w:val="001C2CBF"/>
    <w:rsid w:val="001D6137"/>
    <w:rsid w:val="002138FD"/>
    <w:rsid w:val="00227E22"/>
    <w:rsid w:val="002353E0"/>
    <w:rsid w:val="00241796"/>
    <w:rsid w:val="002460A4"/>
    <w:rsid w:val="00263A3E"/>
    <w:rsid w:val="002978A2"/>
    <w:rsid w:val="002D1FCE"/>
    <w:rsid w:val="002D5A1F"/>
    <w:rsid w:val="002D7173"/>
    <w:rsid w:val="002F2169"/>
    <w:rsid w:val="00310377"/>
    <w:rsid w:val="0031763B"/>
    <w:rsid w:val="00320980"/>
    <w:rsid w:val="00324078"/>
    <w:rsid w:val="003363DC"/>
    <w:rsid w:val="00347D6B"/>
    <w:rsid w:val="00370FDB"/>
    <w:rsid w:val="003A0393"/>
    <w:rsid w:val="003B003C"/>
    <w:rsid w:val="003B04DF"/>
    <w:rsid w:val="003B7F54"/>
    <w:rsid w:val="004160DF"/>
    <w:rsid w:val="004323FF"/>
    <w:rsid w:val="00453C1F"/>
    <w:rsid w:val="004A729F"/>
    <w:rsid w:val="004A77DF"/>
    <w:rsid w:val="004C6F57"/>
    <w:rsid w:val="004D0F98"/>
    <w:rsid w:val="004D2532"/>
    <w:rsid w:val="004E1E24"/>
    <w:rsid w:val="0051248F"/>
    <w:rsid w:val="0053086B"/>
    <w:rsid w:val="00535116"/>
    <w:rsid w:val="00537ACD"/>
    <w:rsid w:val="00572222"/>
    <w:rsid w:val="005770C6"/>
    <w:rsid w:val="005E3FD8"/>
    <w:rsid w:val="005E4F0C"/>
    <w:rsid w:val="00610974"/>
    <w:rsid w:val="00624F80"/>
    <w:rsid w:val="0062756A"/>
    <w:rsid w:val="00630142"/>
    <w:rsid w:val="0063110D"/>
    <w:rsid w:val="006362D0"/>
    <w:rsid w:val="0069763D"/>
    <w:rsid w:val="006A31A3"/>
    <w:rsid w:val="006B5B84"/>
    <w:rsid w:val="006E7FA0"/>
    <w:rsid w:val="00710DC1"/>
    <w:rsid w:val="00726878"/>
    <w:rsid w:val="00735291"/>
    <w:rsid w:val="00750F31"/>
    <w:rsid w:val="00763356"/>
    <w:rsid w:val="0077123A"/>
    <w:rsid w:val="00797C6B"/>
    <w:rsid w:val="008109F4"/>
    <w:rsid w:val="0081332D"/>
    <w:rsid w:val="00853D6C"/>
    <w:rsid w:val="008544AB"/>
    <w:rsid w:val="008564BE"/>
    <w:rsid w:val="0086581A"/>
    <w:rsid w:val="00887C97"/>
    <w:rsid w:val="008A1CF9"/>
    <w:rsid w:val="008C76D3"/>
    <w:rsid w:val="008F0B44"/>
    <w:rsid w:val="008F3901"/>
    <w:rsid w:val="0091190E"/>
    <w:rsid w:val="0092091C"/>
    <w:rsid w:val="009230D3"/>
    <w:rsid w:val="009245E7"/>
    <w:rsid w:val="00926F2F"/>
    <w:rsid w:val="00927E7B"/>
    <w:rsid w:val="0093505D"/>
    <w:rsid w:val="00973708"/>
    <w:rsid w:val="009E4595"/>
    <w:rsid w:val="009F3691"/>
    <w:rsid w:val="00A0285D"/>
    <w:rsid w:val="00A31972"/>
    <w:rsid w:val="00A76CDE"/>
    <w:rsid w:val="00A85BFF"/>
    <w:rsid w:val="00AA29B4"/>
    <w:rsid w:val="00AD7211"/>
    <w:rsid w:val="00AE1D42"/>
    <w:rsid w:val="00AE5F8D"/>
    <w:rsid w:val="00B037D9"/>
    <w:rsid w:val="00B17010"/>
    <w:rsid w:val="00B21D32"/>
    <w:rsid w:val="00B250D2"/>
    <w:rsid w:val="00B81A5C"/>
    <w:rsid w:val="00B90BDA"/>
    <w:rsid w:val="00BA2BE5"/>
    <w:rsid w:val="00BC5BE4"/>
    <w:rsid w:val="00C1293E"/>
    <w:rsid w:val="00C2069C"/>
    <w:rsid w:val="00C317B9"/>
    <w:rsid w:val="00C7045A"/>
    <w:rsid w:val="00C73084"/>
    <w:rsid w:val="00C93F9F"/>
    <w:rsid w:val="00CA3078"/>
    <w:rsid w:val="00CC5551"/>
    <w:rsid w:val="00CF0763"/>
    <w:rsid w:val="00CF7706"/>
    <w:rsid w:val="00D22BFE"/>
    <w:rsid w:val="00D231F7"/>
    <w:rsid w:val="00D42AEC"/>
    <w:rsid w:val="00D46E74"/>
    <w:rsid w:val="00DA01AE"/>
    <w:rsid w:val="00DB5F17"/>
    <w:rsid w:val="00DB6FED"/>
    <w:rsid w:val="00DB7EAB"/>
    <w:rsid w:val="00DF7883"/>
    <w:rsid w:val="00E15408"/>
    <w:rsid w:val="00E37BF9"/>
    <w:rsid w:val="00E47911"/>
    <w:rsid w:val="00E50474"/>
    <w:rsid w:val="00E5610E"/>
    <w:rsid w:val="00E71A2F"/>
    <w:rsid w:val="00E739F5"/>
    <w:rsid w:val="00E76AC3"/>
    <w:rsid w:val="00E81DCC"/>
    <w:rsid w:val="00EF2E46"/>
    <w:rsid w:val="00F02FF2"/>
    <w:rsid w:val="00F12079"/>
    <w:rsid w:val="00F14435"/>
    <w:rsid w:val="00F148D0"/>
    <w:rsid w:val="00F21E0B"/>
    <w:rsid w:val="00F2321B"/>
    <w:rsid w:val="00F35A6C"/>
    <w:rsid w:val="00F56595"/>
    <w:rsid w:val="00FD0A40"/>
    <w:rsid w:val="00FD2941"/>
    <w:rsid w:val="0F9758E4"/>
    <w:rsid w:val="4E7D604A"/>
    <w:rsid w:val="659912BC"/>
    <w:rsid w:val="738B3246"/>
    <w:rsid w:val="74C5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20B79C-314D-4E5B-A297-95E459B7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343</Words>
  <Characters>1960</Characters>
  <Application>Microsoft Office Word</Application>
  <DocSecurity>0</DocSecurity>
  <Lines>16</Lines>
  <Paragraphs>4</Paragraphs>
  <ScaleCrop>false</ScaleCrop>
  <Company>Microsoft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cp:lastPrinted>2025-10-09T00:42:00Z</cp:lastPrinted>
  <dcterms:created xsi:type="dcterms:W3CDTF">2025-10-09T00:45:00Z</dcterms:created>
  <dcterms:modified xsi:type="dcterms:W3CDTF">2025-10-10T08:50:00Z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eyJoZGlkIjoiZTZhYjM0ZjI5NDJlZDgwY2VkYjM1NmQ2YWEzOGRlNTMiLCJ1c2VySWQiOiI5NDc0MzU5MTkifQ==</vt:lpwstr>
  </property>
  <property fmtid="{D5CDD505-2E9C-101B-9397-08002B2CF9AE}" pid="3" name="KSOProductBuildVer">
    <vt:lpwstr>2052-12.1.0.22529</vt:lpwstr>
  </property>
  <property fmtid="{D5CDD505-2E9C-101B-9397-08002B2CF9AE}" pid="4" name="ICV">
    <vt:lpwstr>18156B34C3FF4A95A0002B6F755F1CCE_13</vt:lpwstr>
  </property>
</Properties>
</file>