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13" w:rsidRDefault="00AB393F">
      <w:pPr>
        <w:adjustRightInd/>
        <w:snapToGrid/>
        <w:spacing w:line="220" w:lineRule="atLeas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 w:rsidR="003705C7">
        <w:rPr>
          <w:rFonts w:ascii="黑体" w:eastAsia="黑体" w:hAnsi="黑体" w:cs="黑体"/>
          <w:sz w:val="24"/>
          <w:szCs w:val="24"/>
        </w:rPr>
        <w:t>2</w:t>
      </w:r>
    </w:p>
    <w:p w:rsidR="000D4613" w:rsidRDefault="000D4613">
      <w:pPr>
        <w:spacing w:after="0"/>
        <w:jc w:val="center"/>
        <w:rPr>
          <w:rFonts w:ascii="黑体" w:eastAsia="黑体" w:hAnsi="黑体" w:cs="黑体"/>
          <w:b/>
          <w:sz w:val="28"/>
          <w:szCs w:val="28"/>
        </w:rPr>
      </w:pPr>
    </w:p>
    <w:p w:rsidR="000D4613" w:rsidRDefault="00AB393F">
      <w:pPr>
        <w:spacing w:after="0"/>
        <w:jc w:val="center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常州大学本科课程评估标准</w:t>
      </w:r>
      <w:bookmarkStart w:id="0" w:name="_GoBack"/>
      <w:bookmarkEnd w:id="0"/>
    </w:p>
    <w:tbl>
      <w:tblPr>
        <w:tblpPr w:leftFromText="180" w:rightFromText="180" w:vertAnchor="text" w:horzAnchor="margin" w:tblpY="166"/>
        <w:tblW w:w="8755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97"/>
        <w:gridCol w:w="4649"/>
      </w:tblGrid>
      <w:tr w:rsidR="000D4613" w:rsidTr="00CE71DE">
        <w:trPr>
          <w:trHeight w:val="415"/>
          <w:tblHeader/>
        </w:trPr>
        <w:tc>
          <w:tcPr>
            <w:tcW w:w="1809" w:type="dxa"/>
            <w:vAlign w:val="center"/>
          </w:tcPr>
          <w:p w:rsidR="000D4613" w:rsidRDefault="00AB393F">
            <w:pPr>
              <w:spacing w:after="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一级指标</w:t>
            </w:r>
          </w:p>
        </w:tc>
        <w:tc>
          <w:tcPr>
            <w:tcW w:w="2297" w:type="dxa"/>
            <w:vAlign w:val="center"/>
          </w:tcPr>
          <w:p w:rsidR="000D4613" w:rsidRDefault="00AB393F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>二级指标</w:t>
            </w:r>
          </w:p>
        </w:tc>
        <w:tc>
          <w:tcPr>
            <w:tcW w:w="4649" w:type="dxa"/>
            <w:vAlign w:val="center"/>
          </w:tcPr>
          <w:p w:rsidR="000D4613" w:rsidRDefault="00AB393F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>评估内容</w:t>
            </w:r>
          </w:p>
        </w:tc>
      </w:tr>
      <w:tr w:rsidR="000D4613" w:rsidTr="00CE71DE">
        <w:trPr>
          <w:trHeight w:val="687"/>
          <w:tblHeader/>
        </w:trPr>
        <w:tc>
          <w:tcPr>
            <w:tcW w:w="1809" w:type="dxa"/>
            <w:vMerge w:val="restart"/>
            <w:vAlign w:val="center"/>
          </w:tcPr>
          <w:p w:rsidR="000D4613" w:rsidRPr="002762EA" w:rsidRDefault="00AB393F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1.</w:t>
            </w:r>
            <w:r w:rsidR="00577DDC"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课程目标与内容</w:t>
            </w:r>
          </w:p>
        </w:tc>
        <w:tc>
          <w:tcPr>
            <w:tcW w:w="2297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1.1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课程目标定位</w:t>
            </w:r>
          </w:p>
        </w:tc>
        <w:tc>
          <w:tcPr>
            <w:tcW w:w="4649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课程目标可</w:t>
            </w:r>
            <w:r w:rsidR="00577DDC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衡量、</w:t>
            </w:r>
            <w:r w:rsidR="00577DDC"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可评价</w:t>
            </w:r>
          </w:p>
          <w:p w:rsidR="000D4613" w:rsidRPr="002762EA" w:rsidRDefault="00F86080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课程目标支撑专业</w:t>
            </w:r>
            <w:r w:rsidR="00AB393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毕业要求</w:t>
            </w:r>
          </w:p>
        </w:tc>
      </w:tr>
      <w:tr w:rsidR="000D4613" w:rsidTr="00CE71DE">
        <w:trPr>
          <w:trHeight w:val="717"/>
          <w:tblHeader/>
        </w:trPr>
        <w:tc>
          <w:tcPr>
            <w:tcW w:w="1809" w:type="dxa"/>
            <w:vMerge/>
            <w:vAlign w:val="center"/>
          </w:tcPr>
          <w:p w:rsidR="000D4613" w:rsidRPr="002762EA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Pr="002762EA" w:rsidRDefault="00E97AAB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1.2</w:t>
            </w:r>
            <w:r w:rsidR="00AB393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</w:t>
            </w:r>
            <w:r w:rsidR="00AB393F"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教学</w:t>
            </w:r>
            <w:r w:rsidR="00AB393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内容</w:t>
            </w:r>
            <w:r w:rsidR="00AB393F"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高阶性、创新性和挑战度</w:t>
            </w:r>
          </w:p>
        </w:tc>
        <w:tc>
          <w:tcPr>
            <w:tcW w:w="4649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课程教学内容与课程教学目标</w:t>
            </w: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相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对应</w:t>
            </w:r>
          </w:p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教学内容体现知识、能力、素质有机融合</w:t>
            </w:r>
          </w:p>
        </w:tc>
      </w:tr>
      <w:tr w:rsidR="000D4613" w:rsidTr="00CE71DE">
        <w:trPr>
          <w:trHeight w:val="556"/>
          <w:tblHeader/>
        </w:trPr>
        <w:tc>
          <w:tcPr>
            <w:tcW w:w="1809" w:type="dxa"/>
            <w:vMerge/>
            <w:vAlign w:val="center"/>
          </w:tcPr>
          <w:p w:rsidR="000D4613" w:rsidRPr="002762EA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Pr="002762EA" w:rsidRDefault="00E97AAB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1.3</w:t>
            </w:r>
            <w:r w:rsidR="00AB393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</w:t>
            </w:r>
            <w:r w:rsidR="00AB393F"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课程思政</w:t>
            </w:r>
          </w:p>
        </w:tc>
        <w:tc>
          <w:tcPr>
            <w:tcW w:w="4649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课程内容发掘其中蕴含的思想政治教育资源</w:t>
            </w:r>
          </w:p>
        </w:tc>
      </w:tr>
      <w:tr w:rsidR="000D4613" w:rsidTr="00CE71DE">
        <w:trPr>
          <w:trHeight w:val="392"/>
          <w:tblHeader/>
        </w:trPr>
        <w:tc>
          <w:tcPr>
            <w:tcW w:w="1809" w:type="dxa"/>
            <w:vMerge w:val="restart"/>
            <w:vAlign w:val="center"/>
          </w:tcPr>
          <w:p w:rsidR="000D4613" w:rsidRPr="002762EA" w:rsidRDefault="00AB393F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2.</w:t>
            </w:r>
            <w:r w:rsidR="00577DDC"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课程考核与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评价</w:t>
            </w:r>
          </w:p>
        </w:tc>
        <w:tc>
          <w:tcPr>
            <w:tcW w:w="2297" w:type="dxa"/>
            <w:vAlign w:val="center"/>
          </w:tcPr>
          <w:p w:rsidR="000D4613" w:rsidRPr="002762EA" w:rsidRDefault="00AB393F" w:rsidP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2.1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课程考核</w:t>
            </w:r>
            <w:r w:rsidR="00577DDC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方式</w:t>
            </w:r>
          </w:p>
        </w:tc>
        <w:tc>
          <w:tcPr>
            <w:tcW w:w="4649" w:type="dxa"/>
            <w:vAlign w:val="center"/>
          </w:tcPr>
          <w:p w:rsidR="00577DDC" w:rsidRPr="002762EA" w:rsidRDefault="00577DDC" w:rsidP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采用多元评价方法，评价标准合理</w:t>
            </w:r>
          </w:p>
          <w:p w:rsidR="000D4613" w:rsidRPr="002762EA" w:rsidRDefault="00577DDC" w:rsidP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采用过程性与结果性考核相结合的方式进行评价</w:t>
            </w:r>
          </w:p>
        </w:tc>
      </w:tr>
      <w:tr w:rsidR="000D4613" w:rsidTr="00CE71DE">
        <w:trPr>
          <w:trHeight w:val="392"/>
          <w:tblHeader/>
        </w:trPr>
        <w:tc>
          <w:tcPr>
            <w:tcW w:w="1809" w:type="dxa"/>
            <w:vMerge/>
            <w:vAlign w:val="center"/>
          </w:tcPr>
          <w:p w:rsidR="000D4613" w:rsidRPr="002762EA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Pr="002762EA" w:rsidRDefault="00AB393F" w:rsidP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2.2  </w:t>
            </w:r>
            <w:r w:rsidR="00577DDC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课程考核内容</w:t>
            </w:r>
          </w:p>
        </w:tc>
        <w:tc>
          <w:tcPr>
            <w:tcW w:w="4649" w:type="dxa"/>
            <w:vAlign w:val="center"/>
          </w:tcPr>
          <w:p w:rsidR="00577DDC" w:rsidRPr="002762EA" w:rsidRDefault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考核内容与学生能力表现</w:t>
            </w: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的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相关性</w:t>
            </w:r>
          </w:p>
          <w:p w:rsidR="00577DDC" w:rsidRPr="002762EA" w:rsidRDefault="00577DDC" w:rsidP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bookmarkStart w:id="1" w:name="OLE_LINK1"/>
            <w:bookmarkStart w:id="2" w:name="OLE_LINK2"/>
            <w:r w:rsidRPr="002762EA">
              <w:rPr>
                <w:rFonts w:ascii="仿宋" w:eastAsia="仿宋" w:hAnsi="仿宋" w:cs="Times New Roman" w:hint="eastAsia"/>
                <w:sz w:val="21"/>
                <w:szCs w:val="21"/>
              </w:rPr>
              <w:t>考核资料规范齐全</w:t>
            </w:r>
            <w:bookmarkEnd w:id="1"/>
            <w:bookmarkEnd w:id="2"/>
          </w:p>
        </w:tc>
      </w:tr>
      <w:tr w:rsidR="000D4613" w:rsidTr="00CE71DE">
        <w:trPr>
          <w:trHeight w:val="392"/>
          <w:tblHeader/>
        </w:trPr>
        <w:tc>
          <w:tcPr>
            <w:tcW w:w="1809" w:type="dxa"/>
            <w:vMerge w:val="restart"/>
            <w:vAlign w:val="center"/>
          </w:tcPr>
          <w:p w:rsidR="000D4613" w:rsidRPr="002762EA" w:rsidRDefault="00AB393F" w:rsidP="00577DDC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3.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课程资源与支持条件</w:t>
            </w:r>
          </w:p>
        </w:tc>
        <w:tc>
          <w:tcPr>
            <w:tcW w:w="2297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3.1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课程师资团队</w:t>
            </w:r>
          </w:p>
        </w:tc>
        <w:tc>
          <w:tcPr>
            <w:tcW w:w="4649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基层教学组织建设情况</w:t>
            </w:r>
          </w:p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师德师风</w:t>
            </w:r>
          </w:p>
        </w:tc>
      </w:tr>
      <w:tr w:rsidR="000D4613" w:rsidTr="00CE71DE">
        <w:trPr>
          <w:trHeight w:val="723"/>
          <w:tblHeader/>
        </w:trPr>
        <w:tc>
          <w:tcPr>
            <w:tcW w:w="1809" w:type="dxa"/>
            <w:vMerge/>
            <w:vAlign w:val="center"/>
          </w:tcPr>
          <w:p w:rsidR="000D4613" w:rsidRPr="002762EA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Pr="002762EA" w:rsidRDefault="00AB393F" w:rsidP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3.2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网络教学资源建设</w:t>
            </w:r>
          </w:p>
        </w:tc>
        <w:tc>
          <w:tcPr>
            <w:tcW w:w="4649" w:type="dxa"/>
            <w:vAlign w:val="center"/>
          </w:tcPr>
          <w:p w:rsidR="00CE71DE" w:rsidRPr="002762EA" w:rsidRDefault="00CE71D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网络教学资源完备且定期更新</w:t>
            </w:r>
          </w:p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现代信息技术与教育教学深度融合</w:t>
            </w:r>
          </w:p>
        </w:tc>
      </w:tr>
      <w:tr w:rsidR="000D4613" w:rsidTr="00CE71DE">
        <w:trPr>
          <w:trHeight w:val="392"/>
          <w:tblHeader/>
        </w:trPr>
        <w:tc>
          <w:tcPr>
            <w:tcW w:w="1809" w:type="dxa"/>
            <w:vMerge/>
            <w:vAlign w:val="center"/>
          </w:tcPr>
          <w:p w:rsidR="000D4613" w:rsidRPr="002762EA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Pr="002762EA" w:rsidRDefault="00AB393F" w:rsidP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3.3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学习资源</w:t>
            </w:r>
            <w:r w:rsidR="00577DDC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与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支持</w:t>
            </w:r>
          </w:p>
        </w:tc>
        <w:tc>
          <w:tcPr>
            <w:tcW w:w="4649" w:type="dxa"/>
            <w:vAlign w:val="center"/>
          </w:tcPr>
          <w:p w:rsidR="009C38D8" w:rsidRPr="002762EA" w:rsidRDefault="00577DDC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推动高水平教材编写使用</w:t>
            </w:r>
          </w:p>
          <w:p w:rsidR="000D4613" w:rsidRPr="002762EA" w:rsidRDefault="009C38D8" w:rsidP="009C38D8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提供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丰富有效的</w:t>
            </w:r>
            <w:r w:rsidR="00AB393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</w:t>
            </w:r>
            <w:r w:rsidR="00577DDC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内</w:t>
            </w:r>
            <w:r w:rsidR="00AB393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外学习资源</w:t>
            </w:r>
          </w:p>
        </w:tc>
      </w:tr>
      <w:tr w:rsidR="000D4613" w:rsidTr="00CE71DE">
        <w:trPr>
          <w:trHeight w:val="392"/>
          <w:tblHeader/>
        </w:trPr>
        <w:tc>
          <w:tcPr>
            <w:tcW w:w="1809" w:type="dxa"/>
            <w:vMerge w:val="restart"/>
            <w:vAlign w:val="center"/>
          </w:tcPr>
          <w:p w:rsidR="000D4613" w:rsidRPr="002762EA" w:rsidRDefault="00AB393F" w:rsidP="00417EDB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4.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课程教学过程与改革成效</w:t>
            </w:r>
          </w:p>
        </w:tc>
        <w:tc>
          <w:tcPr>
            <w:tcW w:w="2297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4.1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教学设计</w:t>
            </w:r>
          </w:p>
        </w:tc>
        <w:tc>
          <w:tcPr>
            <w:tcW w:w="4649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教学设计体现先进的教育理念</w:t>
            </w:r>
          </w:p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教学各环节设计注重学生创新意识与能力培养</w:t>
            </w:r>
          </w:p>
        </w:tc>
      </w:tr>
      <w:tr w:rsidR="000D4613" w:rsidTr="00CE71DE">
        <w:trPr>
          <w:trHeight w:val="291"/>
          <w:tblHeader/>
        </w:trPr>
        <w:tc>
          <w:tcPr>
            <w:tcW w:w="1809" w:type="dxa"/>
            <w:vMerge/>
            <w:vAlign w:val="center"/>
          </w:tcPr>
          <w:p w:rsidR="000D4613" w:rsidRPr="002762EA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4.2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教学方法与手段</w:t>
            </w:r>
          </w:p>
        </w:tc>
        <w:tc>
          <w:tcPr>
            <w:tcW w:w="4649" w:type="dxa"/>
            <w:vAlign w:val="center"/>
          </w:tcPr>
          <w:p w:rsidR="000D4613" w:rsidRPr="002762EA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合理运用多种教学方法，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体现因材施教</w:t>
            </w:r>
          </w:p>
          <w:p w:rsidR="000D4613" w:rsidRPr="002762EA" w:rsidRDefault="00AB393F" w:rsidP="00417EDB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线上线下师生、生生</w:t>
            </w:r>
            <w:r w:rsidR="00417EDB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交互</w:t>
            </w: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协作</w:t>
            </w:r>
          </w:p>
        </w:tc>
      </w:tr>
      <w:tr w:rsidR="000D4613" w:rsidTr="00CE71DE">
        <w:trPr>
          <w:trHeight w:val="316"/>
          <w:tblHeader/>
        </w:trPr>
        <w:tc>
          <w:tcPr>
            <w:tcW w:w="1809" w:type="dxa"/>
            <w:vMerge/>
            <w:vAlign w:val="center"/>
          </w:tcPr>
          <w:p w:rsidR="000D4613" w:rsidRPr="002762EA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Pr="002762EA" w:rsidRDefault="00AB393F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4.3  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教学改革成效</w:t>
            </w:r>
          </w:p>
        </w:tc>
        <w:tc>
          <w:tcPr>
            <w:tcW w:w="4649" w:type="dxa"/>
            <w:vAlign w:val="center"/>
          </w:tcPr>
          <w:p w:rsidR="00CE71DE" w:rsidRPr="002762EA" w:rsidRDefault="00CE71DE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课程教学改革思路及举措</w:t>
            </w:r>
          </w:p>
          <w:p w:rsidR="000D4613" w:rsidRPr="002762EA" w:rsidRDefault="00CE71DE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课程建设荣誉</w:t>
            </w:r>
          </w:p>
        </w:tc>
      </w:tr>
      <w:tr w:rsidR="000D4613" w:rsidTr="00CE71DE">
        <w:trPr>
          <w:trHeight w:val="406"/>
          <w:tblHeader/>
        </w:trPr>
        <w:tc>
          <w:tcPr>
            <w:tcW w:w="1809" w:type="dxa"/>
            <w:vMerge w:val="restart"/>
            <w:vAlign w:val="center"/>
          </w:tcPr>
          <w:p w:rsidR="000D4613" w:rsidRPr="002762EA" w:rsidRDefault="00AB393F" w:rsidP="00417EDB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5.</w:t>
            </w:r>
            <w:r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持续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改进</w:t>
            </w:r>
          </w:p>
        </w:tc>
        <w:tc>
          <w:tcPr>
            <w:tcW w:w="2297" w:type="dxa"/>
            <w:vAlign w:val="center"/>
          </w:tcPr>
          <w:p w:rsidR="000D4613" w:rsidRPr="002762EA" w:rsidRDefault="00AB393F" w:rsidP="001D006F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 w:hint="eastAsia"/>
                <w:bCs/>
                <w:sz w:val="21"/>
                <w:szCs w:val="21"/>
              </w:rPr>
              <w:t>5.</w:t>
            </w:r>
            <w:r w:rsidRPr="002762EA"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1"/>
                <w:szCs w:val="21"/>
              </w:rPr>
              <w:t xml:space="preserve">1  </w:t>
            </w:r>
            <w:r w:rsidR="00E97AAB" w:rsidRPr="002762EA"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1"/>
                <w:szCs w:val="21"/>
              </w:rPr>
              <w:t>课程</w:t>
            </w:r>
            <w:r w:rsidR="00417EDB" w:rsidRPr="002762EA"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1"/>
                <w:szCs w:val="21"/>
              </w:rPr>
              <w:t>质量</w:t>
            </w:r>
            <w:r w:rsidRPr="002762EA">
              <w:rPr>
                <w:rFonts w:ascii="Times New Roman" w:eastAsia="仿宋" w:hAnsi="Times New Roman" w:cs="Times New Roman"/>
                <w:bCs/>
                <w:color w:val="000000" w:themeColor="text1"/>
                <w:sz w:val="21"/>
                <w:szCs w:val="21"/>
              </w:rPr>
              <w:t>自我评价机制及</w:t>
            </w:r>
            <w:r w:rsidR="001D006F" w:rsidRPr="002762EA"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1"/>
                <w:szCs w:val="21"/>
              </w:rPr>
              <w:t>实施情况</w:t>
            </w:r>
          </w:p>
        </w:tc>
        <w:tc>
          <w:tcPr>
            <w:tcW w:w="4649" w:type="dxa"/>
            <w:vAlign w:val="center"/>
          </w:tcPr>
          <w:p w:rsidR="000D4613" w:rsidRPr="002762EA" w:rsidRDefault="00AB393F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建立</w:t>
            </w:r>
            <w:r w:rsidR="001D006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课程</w:t>
            </w:r>
            <w:r w:rsidR="00417EDB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质量</w:t>
            </w:r>
            <w:r w:rsidR="001D006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自我评价</w:t>
            </w:r>
            <w:r w:rsidRPr="002762EA">
              <w:rPr>
                <w:rFonts w:ascii="Times New Roman" w:eastAsia="仿宋" w:hAnsi="Times New Roman" w:cs="Times New Roman"/>
                <w:sz w:val="21"/>
                <w:szCs w:val="21"/>
              </w:rPr>
              <w:t>机制</w:t>
            </w:r>
            <w:r w:rsidR="001D006F" w:rsidRPr="002762EA"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并持续改进</w:t>
            </w:r>
          </w:p>
        </w:tc>
      </w:tr>
      <w:tr w:rsidR="000D4613" w:rsidTr="00CE71DE">
        <w:trPr>
          <w:trHeight w:val="542"/>
          <w:tblHeader/>
        </w:trPr>
        <w:tc>
          <w:tcPr>
            <w:tcW w:w="1809" w:type="dxa"/>
            <w:vMerge/>
            <w:vAlign w:val="center"/>
          </w:tcPr>
          <w:p w:rsidR="000D4613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Default="00AB393F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5.2  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学生学习成效评价</w:t>
            </w:r>
          </w:p>
        </w:tc>
        <w:tc>
          <w:tcPr>
            <w:tcW w:w="4649" w:type="dxa"/>
            <w:vAlign w:val="center"/>
          </w:tcPr>
          <w:p w:rsidR="000D4613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团队教师的学生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网上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评教成绩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（由质评中心提供）</w:t>
            </w:r>
          </w:p>
        </w:tc>
      </w:tr>
      <w:tr w:rsidR="000D4613" w:rsidTr="00CE71DE">
        <w:trPr>
          <w:trHeight w:val="564"/>
          <w:tblHeader/>
        </w:trPr>
        <w:tc>
          <w:tcPr>
            <w:tcW w:w="1809" w:type="dxa"/>
            <w:vMerge/>
            <w:vAlign w:val="center"/>
          </w:tcPr>
          <w:p w:rsidR="000D4613" w:rsidRDefault="000D4613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D4613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5.3  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专家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同行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评价</w:t>
            </w:r>
          </w:p>
        </w:tc>
        <w:tc>
          <w:tcPr>
            <w:tcW w:w="4649" w:type="dxa"/>
            <w:vAlign w:val="center"/>
          </w:tcPr>
          <w:p w:rsidR="000D4613" w:rsidRDefault="00AB393F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团队教师的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专家同行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评教成绩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网上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评教成绩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（由质评中心提供）</w:t>
            </w:r>
          </w:p>
        </w:tc>
      </w:tr>
    </w:tbl>
    <w:p w:rsidR="000D4613" w:rsidRDefault="000D4613">
      <w:pPr>
        <w:spacing w:after="0"/>
      </w:pPr>
    </w:p>
    <w:p w:rsidR="000D4613" w:rsidRDefault="000D4613">
      <w:pPr>
        <w:adjustRightInd/>
        <w:snapToGrid/>
        <w:spacing w:line="220" w:lineRule="atLeast"/>
      </w:pPr>
    </w:p>
    <w:sectPr w:rsidR="000D4613" w:rsidSect="009810E8"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0A" w:rsidRDefault="00EF050A">
      <w:pPr>
        <w:spacing w:after="0"/>
      </w:pPr>
      <w:r>
        <w:separator/>
      </w:r>
    </w:p>
  </w:endnote>
  <w:endnote w:type="continuationSeparator" w:id="0">
    <w:p w:rsidR="00EF050A" w:rsidRDefault="00EF05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0A" w:rsidRDefault="00EF050A">
      <w:pPr>
        <w:spacing w:after="0"/>
      </w:pPr>
      <w:r>
        <w:separator/>
      </w:r>
    </w:p>
  </w:footnote>
  <w:footnote w:type="continuationSeparator" w:id="0">
    <w:p w:rsidR="00EF050A" w:rsidRDefault="00EF05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04E9"/>
    <w:multiLevelType w:val="multilevel"/>
    <w:tmpl w:val="64CB04E9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3F7E"/>
    <w:rsid w:val="00045EE0"/>
    <w:rsid w:val="00047D12"/>
    <w:rsid w:val="00070E2F"/>
    <w:rsid w:val="0009071D"/>
    <w:rsid w:val="000B75E7"/>
    <w:rsid w:val="000D4613"/>
    <w:rsid w:val="000E1607"/>
    <w:rsid w:val="000F7434"/>
    <w:rsid w:val="0011496F"/>
    <w:rsid w:val="00146E13"/>
    <w:rsid w:val="00180446"/>
    <w:rsid w:val="001D006F"/>
    <w:rsid w:val="001E4A5A"/>
    <w:rsid w:val="001F1D0A"/>
    <w:rsid w:val="001F4B6E"/>
    <w:rsid w:val="00252D93"/>
    <w:rsid w:val="00257BC4"/>
    <w:rsid w:val="00275A05"/>
    <w:rsid w:val="002762EA"/>
    <w:rsid w:val="00280AC9"/>
    <w:rsid w:val="00285CE3"/>
    <w:rsid w:val="002B33F7"/>
    <w:rsid w:val="002C6255"/>
    <w:rsid w:val="002D4481"/>
    <w:rsid w:val="002F094C"/>
    <w:rsid w:val="00301129"/>
    <w:rsid w:val="00321518"/>
    <w:rsid w:val="00322E15"/>
    <w:rsid w:val="00323B43"/>
    <w:rsid w:val="00340439"/>
    <w:rsid w:val="003429D8"/>
    <w:rsid w:val="003705C7"/>
    <w:rsid w:val="003A7AA6"/>
    <w:rsid w:val="003C0770"/>
    <w:rsid w:val="003D0CC9"/>
    <w:rsid w:val="003D37D8"/>
    <w:rsid w:val="003F39FC"/>
    <w:rsid w:val="00417EDB"/>
    <w:rsid w:val="0042120C"/>
    <w:rsid w:val="00426133"/>
    <w:rsid w:val="004358AB"/>
    <w:rsid w:val="00494B6D"/>
    <w:rsid w:val="004A5A60"/>
    <w:rsid w:val="004B585F"/>
    <w:rsid w:val="004C6395"/>
    <w:rsid w:val="004E5E38"/>
    <w:rsid w:val="0050560A"/>
    <w:rsid w:val="005261C3"/>
    <w:rsid w:val="00556B66"/>
    <w:rsid w:val="005629CD"/>
    <w:rsid w:val="00577DDC"/>
    <w:rsid w:val="0058050B"/>
    <w:rsid w:val="00585C91"/>
    <w:rsid w:val="00607D67"/>
    <w:rsid w:val="00613012"/>
    <w:rsid w:val="0061747B"/>
    <w:rsid w:val="006370ED"/>
    <w:rsid w:val="00692B97"/>
    <w:rsid w:val="006E5305"/>
    <w:rsid w:val="00702303"/>
    <w:rsid w:val="007475DB"/>
    <w:rsid w:val="00775EC5"/>
    <w:rsid w:val="007952C7"/>
    <w:rsid w:val="007A3CD4"/>
    <w:rsid w:val="007D5CE8"/>
    <w:rsid w:val="008245EC"/>
    <w:rsid w:val="00891FD7"/>
    <w:rsid w:val="008A1642"/>
    <w:rsid w:val="008B7726"/>
    <w:rsid w:val="008C3902"/>
    <w:rsid w:val="008F5855"/>
    <w:rsid w:val="0090100C"/>
    <w:rsid w:val="00926A45"/>
    <w:rsid w:val="00957E3F"/>
    <w:rsid w:val="00965146"/>
    <w:rsid w:val="00973A41"/>
    <w:rsid w:val="009810E8"/>
    <w:rsid w:val="009A46F8"/>
    <w:rsid w:val="009C38D8"/>
    <w:rsid w:val="009D510B"/>
    <w:rsid w:val="009E3F5F"/>
    <w:rsid w:val="00A12218"/>
    <w:rsid w:val="00A16E5B"/>
    <w:rsid w:val="00A40728"/>
    <w:rsid w:val="00A4278D"/>
    <w:rsid w:val="00A433FB"/>
    <w:rsid w:val="00AB393F"/>
    <w:rsid w:val="00AE3472"/>
    <w:rsid w:val="00B128AE"/>
    <w:rsid w:val="00B408BB"/>
    <w:rsid w:val="00B41596"/>
    <w:rsid w:val="00B53758"/>
    <w:rsid w:val="00B70651"/>
    <w:rsid w:val="00B83DDD"/>
    <w:rsid w:val="00BB32FC"/>
    <w:rsid w:val="00BE37E2"/>
    <w:rsid w:val="00C610EE"/>
    <w:rsid w:val="00CB4540"/>
    <w:rsid w:val="00CB4F60"/>
    <w:rsid w:val="00CD406F"/>
    <w:rsid w:val="00CE00F3"/>
    <w:rsid w:val="00CE71DE"/>
    <w:rsid w:val="00D02756"/>
    <w:rsid w:val="00D30A47"/>
    <w:rsid w:val="00D31D50"/>
    <w:rsid w:val="00D46DCD"/>
    <w:rsid w:val="00D6461B"/>
    <w:rsid w:val="00DC5648"/>
    <w:rsid w:val="00DD1C7E"/>
    <w:rsid w:val="00DE5507"/>
    <w:rsid w:val="00E01981"/>
    <w:rsid w:val="00E116B4"/>
    <w:rsid w:val="00E221FF"/>
    <w:rsid w:val="00E572DF"/>
    <w:rsid w:val="00E8275A"/>
    <w:rsid w:val="00E97AAB"/>
    <w:rsid w:val="00ED4CBA"/>
    <w:rsid w:val="00EF050A"/>
    <w:rsid w:val="00F200D2"/>
    <w:rsid w:val="00F26807"/>
    <w:rsid w:val="00F4325F"/>
    <w:rsid w:val="00F44C4C"/>
    <w:rsid w:val="00F86080"/>
    <w:rsid w:val="00F96EBE"/>
    <w:rsid w:val="00FA7545"/>
    <w:rsid w:val="00FE72DF"/>
    <w:rsid w:val="0C0F466E"/>
    <w:rsid w:val="1AC067DC"/>
    <w:rsid w:val="2ABC4CD3"/>
    <w:rsid w:val="3E7E7812"/>
    <w:rsid w:val="61D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122C7"/>
  <w15:docId w15:val="{7603CF0A-F258-4355-93D2-11A8D4E8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ahoma" w:hAnsi="Tahoma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未定义</cp:lastModifiedBy>
  <cp:revision>14</cp:revision>
  <cp:lastPrinted>2019-11-29T05:07:00Z</cp:lastPrinted>
  <dcterms:created xsi:type="dcterms:W3CDTF">2024-09-23T07:48:00Z</dcterms:created>
  <dcterms:modified xsi:type="dcterms:W3CDTF">2025-10-11T00:58:00Z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